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BB35F1">
            <w:pPr>
              <w:suppressLineNumbers/>
              <w:spacing w:line="360" w:lineRule="auto"/>
              <w:jc w:val="both"/>
              <w:rPr>
                <w:rFonts w:ascii="Arial" w:hAnsi="Arial"/>
                <w:b/>
                <w:bCs/>
                <w:sz w:val="26"/>
                <w:szCs w:val="26"/>
                <w:rtl/>
              </w:rPr>
            </w:pPr>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BB35F1">
            <w:pPr>
              <w:suppressLineNumbers/>
              <w:spacing w:line="360" w:lineRule="auto"/>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r>
              <w:rPr>
                <w:rFonts w:ascii="Arial" w:hAnsi="Arial"/>
                <w:b/>
                <w:bCs/>
                <w:sz w:val="26"/>
                <w:szCs w:val="26"/>
                <w:rtl/>
              </w:rPr>
              <w:t>שופט</w:t>
            </w:r>
            <w:r w:rsidR="0094424E" w:rsidRPr="008A59EE">
              <w:rPr>
                <w:rFonts w:ascii="Arial" w:hAnsi="Arial" w:hint="cs"/>
                <w:b/>
                <w:bCs/>
                <w:sz w:val="26"/>
                <w:szCs w:val="26"/>
                <w:rtl/>
              </w:rPr>
              <w:t xml:space="preserve"> </w:t>
            </w:r>
            <w:r>
              <w:rPr>
                <w:rFonts w:ascii="Arial" w:hAnsi="Arial"/>
                <w:b/>
                <w:bCs/>
                <w:sz w:val="26"/>
                <w:szCs w:val="26"/>
                <w:rtl/>
              </w:rPr>
              <w:t>אביגדור דורות</w:t>
            </w:r>
          </w:p>
          <w:p w:rsidR="00007DE0" w:rsidRPr="008A59EE" w:rsidRDefault="00007DE0" w:rsidP="00BB35F1">
            <w:pPr>
              <w:suppressLineNumbers/>
              <w:spacing w:line="360" w:lineRule="auto"/>
              <w:rPr>
                <w:sz w:val="26"/>
                <w:szCs w:val="26"/>
              </w:rPr>
            </w:pPr>
          </w:p>
        </w:tc>
      </w:tr>
      <w:tr w:rsidR="0094424E" w:rsidTr="00465D36">
        <w:trPr>
          <w:jc w:val="center"/>
        </w:trPr>
        <w:tc>
          <w:tcPr>
            <w:tcW w:w="3249" w:type="dxa"/>
            <w:gridSpan w:val="2"/>
          </w:tcPr>
          <w:p w:rsidR="002141AC" w:rsidRDefault="00D377E5" w:rsidP="00BB35F1">
            <w:pPr>
              <w:suppressLineNumbers/>
              <w:spacing w:line="360" w:lineRule="auto"/>
              <w:rPr>
                <w:rFonts w:ascii="Arial" w:hAnsi="Arial"/>
                <w:b/>
                <w:bCs/>
                <w:noProof w:val="0"/>
                <w:sz w:val="26"/>
                <w:szCs w:val="26"/>
                <w:rtl/>
              </w:rPr>
            </w:pPr>
            <w:r>
              <w:rPr>
                <w:rFonts w:ascii="Arial" w:hAnsi="Arial" w:hint="cs"/>
                <w:b/>
                <w:bCs/>
                <w:noProof w:val="0"/>
                <w:sz w:val="26"/>
                <w:szCs w:val="26"/>
                <w:rtl/>
              </w:rPr>
              <w:t>המבקשת:</w:t>
            </w:r>
          </w:p>
        </w:tc>
        <w:tc>
          <w:tcPr>
            <w:tcW w:w="5571" w:type="dxa"/>
          </w:tcPr>
          <w:p w:rsidR="0094424E" w:rsidRDefault="00800A71" w:rsidP="00BB35F1">
            <w:pPr>
              <w:suppressLineNumbers/>
              <w:spacing w:line="360" w:lineRule="auto"/>
              <w:rPr>
                <w:b/>
                <w:bCs/>
                <w:noProof w:val="0"/>
                <w:sz w:val="26"/>
                <w:szCs w:val="26"/>
                <w:rtl/>
              </w:rPr>
            </w:pPr>
            <w:r>
              <w:rPr>
                <w:rFonts w:ascii="Arial" w:hAnsi="Arial" w:hint="cs"/>
                <w:b/>
                <w:bCs/>
                <w:noProof w:val="0"/>
                <w:sz w:val="26"/>
                <w:szCs w:val="26"/>
                <w:rtl/>
              </w:rPr>
              <w:t>היועצת המשפטית לממשלה</w:t>
            </w:r>
          </w:p>
          <w:p w:rsidR="00D377E5" w:rsidRDefault="00D377E5" w:rsidP="00BB35F1">
            <w:pPr>
              <w:suppressLineNumbers/>
              <w:spacing w:line="360" w:lineRule="auto"/>
              <w:rPr>
                <w:noProof w:val="0"/>
                <w:sz w:val="26"/>
                <w:szCs w:val="26"/>
                <w:rtl/>
              </w:rPr>
            </w:pPr>
            <w:r w:rsidRPr="00D377E5">
              <w:rPr>
                <w:rFonts w:hint="cs"/>
                <w:noProof w:val="0"/>
                <w:sz w:val="26"/>
                <w:szCs w:val="26"/>
                <w:rtl/>
              </w:rPr>
              <w:t>ע"י ב"כ עו"ד מתן עקיבא</w:t>
            </w:r>
          </w:p>
          <w:p w:rsidR="00D377E5" w:rsidRDefault="00D377E5" w:rsidP="00BB35F1">
            <w:pPr>
              <w:suppressLineNumbers/>
              <w:spacing w:line="360" w:lineRule="auto"/>
              <w:rPr>
                <w:noProof w:val="0"/>
                <w:sz w:val="26"/>
                <w:szCs w:val="26"/>
                <w:rtl/>
              </w:rPr>
            </w:pPr>
            <w:r>
              <w:rPr>
                <w:rFonts w:hint="cs"/>
                <w:noProof w:val="0"/>
                <w:sz w:val="26"/>
                <w:szCs w:val="26"/>
                <w:rtl/>
              </w:rPr>
              <w:t xml:space="preserve">מהמחלקה הבינלאומית </w:t>
            </w:r>
          </w:p>
          <w:p w:rsidR="00D377E5" w:rsidRPr="00D377E5" w:rsidRDefault="00D377E5" w:rsidP="00BB35F1">
            <w:pPr>
              <w:suppressLineNumbers/>
              <w:spacing w:line="360" w:lineRule="auto"/>
              <w:rPr>
                <w:noProof w:val="0"/>
                <w:sz w:val="26"/>
                <w:szCs w:val="26"/>
              </w:rPr>
            </w:pPr>
            <w:r>
              <w:rPr>
                <w:rFonts w:hint="cs"/>
                <w:noProof w:val="0"/>
                <w:sz w:val="26"/>
                <w:szCs w:val="26"/>
                <w:rtl/>
              </w:rPr>
              <w:t>בפרקליטות המדינה</w:t>
            </w:r>
          </w:p>
        </w:tc>
      </w:tr>
      <w:tr w:rsidR="0094424E">
        <w:trPr>
          <w:jc w:val="center"/>
        </w:trPr>
        <w:tc>
          <w:tcPr>
            <w:tcW w:w="8820" w:type="dxa"/>
            <w:gridSpan w:val="3"/>
          </w:tcPr>
          <w:p w:rsidR="0094424E" w:rsidRDefault="0094424E" w:rsidP="00BB35F1">
            <w:pPr>
              <w:suppressLineNumbers/>
              <w:spacing w:line="360" w:lineRule="auto"/>
              <w:rPr>
                <w:rFonts w:ascii="Arial" w:hAnsi="Arial"/>
                <w:b/>
                <w:bCs/>
                <w:noProof w:val="0"/>
                <w:sz w:val="26"/>
                <w:szCs w:val="26"/>
                <w:rtl/>
              </w:rPr>
            </w:pPr>
          </w:p>
          <w:p w:rsidR="0094424E" w:rsidRDefault="0094424E" w:rsidP="00BB35F1">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BB35F1">
            <w:pPr>
              <w:suppressLineNumbers/>
              <w:spacing w:line="360" w:lineRule="auto"/>
              <w:rPr>
                <w:rFonts w:ascii="Arial" w:hAnsi="Arial"/>
                <w:b/>
                <w:bCs/>
                <w:noProof w:val="0"/>
                <w:sz w:val="26"/>
                <w:szCs w:val="26"/>
              </w:rPr>
            </w:pPr>
          </w:p>
        </w:tc>
      </w:tr>
      <w:tr w:rsidR="0094424E">
        <w:trPr>
          <w:jc w:val="center"/>
        </w:trPr>
        <w:tc>
          <w:tcPr>
            <w:tcW w:w="3249" w:type="dxa"/>
            <w:gridSpan w:val="2"/>
          </w:tcPr>
          <w:p w:rsidR="0094424E" w:rsidRDefault="00D377E5" w:rsidP="00BB35F1">
            <w:pPr>
              <w:suppressLineNumbers/>
              <w:spacing w:line="360" w:lineRule="auto"/>
              <w:rPr>
                <w:rFonts w:ascii="Arial" w:hAnsi="Arial"/>
                <w:b/>
                <w:bCs/>
                <w:noProof w:val="0"/>
                <w:sz w:val="26"/>
                <w:szCs w:val="26"/>
              </w:rPr>
            </w:pPr>
            <w:r>
              <w:rPr>
                <w:rFonts w:ascii="Arial" w:hAnsi="Arial" w:hint="cs"/>
                <w:b/>
                <w:bCs/>
                <w:noProof w:val="0"/>
                <w:sz w:val="26"/>
                <w:szCs w:val="26"/>
                <w:rtl/>
              </w:rPr>
              <w:t>המשיב</w:t>
            </w:r>
            <w:r w:rsidR="00800A71">
              <w:rPr>
                <w:rFonts w:ascii="Arial" w:hAnsi="Arial" w:hint="cs"/>
                <w:b/>
                <w:bCs/>
                <w:noProof w:val="0"/>
                <w:sz w:val="26"/>
                <w:szCs w:val="26"/>
                <w:rtl/>
              </w:rPr>
              <w:t>:</w:t>
            </w:r>
          </w:p>
        </w:tc>
        <w:tc>
          <w:tcPr>
            <w:tcW w:w="5571" w:type="dxa"/>
          </w:tcPr>
          <w:p w:rsidR="00CF6BB7" w:rsidRDefault="00AC5857" w:rsidP="00BB35F1">
            <w:pPr>
              <w:suppressLineNumbers/>
              <w:spacing w:line="360" w:lineRule="auto"/>
              <w:rPr>
                <w:rFonts w:ascii="Arial" w:hAnsi="Arial"/>
                <w:b/>
                <w:bCs/>
                <w:noProof w:val="0"/>
                <w:sz w:val="26"/>
                <w:szCs w:val="26"/>
                <w:rtl/>
              </w:rPr>
            </w:pPr>
            <w:r>
              <w:rPr>
                <w:rFonts w:ascii="Arial" w:hAnsi="Arial"/>
                <w:b/>
                <w:bCs/>
                <w:noProof w:val="0"/>
                <w:sz w:val="26"/>
                <w:szCs w:val="26"/>
                <w:rtl/>
              </w:rPr>
              <w:t>אנדרס אייזיק רואמר סלומיאנסקי (עציר)</w:t>
            </w:r>
          </w:p>
          <w:p w:rsidR="00BB35F1" w:rsidRPr="00BB35F1" w:rsidRDefault="00BB35F1" w:rsidP="00BB35F1">
            <w:pPr>
              <w:suppressLineNumbers/>
              <w:spacing w:line="360" w:lineRule="auto"/>
              <w:rPr>
                <w:rFonts w:ascii="Arial" w:hAnsi="Arial"/>
                <w:noProof w:val="0"/>
                <w:sz w:val="26"/>
                <w:szCs w:val="26"/>
                <w:rtl/>
              </w:rPr>
            </w:pPr>
            <w:r w:rsidRPr="00BB35F1">
              <w:rPr>
                <w:rFonts w:ascii="Arial" w:hAnsi="Arial" w:hint="cs"/>
                <w:noProof w:val="0"/>
                <w:sz w:val="26"/>
                <w:szCs w:val="26"/>
                <w:rtl/>
              </w:rPr>
              <w:t>ע"י ב"כ עו"ד ליאורה טו</w:t>
            </w:r>
            <w:r w:rsidR="00800A71">
              <w:rPr>
                <w:rFonts w:ascii="Arial" w:hAnsi="Arial" w:hint="cs"/>
                <w:noProof w:val="0"/>
                <w:sz w:val="26"/>
                <w:szCs w:val="26"/>
                <w:rtl/>
              </w:rPr>
              <w:t>ר</w:t>
            </w:r>
            <w:r w:rsidRPr="00BB35F1">
              <w:rPr>
                <w:rFonts w:ascii="Arial" w:hAnsi="Arial" w:hint="cs"/>
                <w:noProof w:val="0"/>
                <w:sz w:val="26"/>
                <w:szCs w:val="26"/>
                <w:rtl/>
              </w:rPr>
              <w:t>לבסקי</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BB35F1">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94556" w:rsidRPr="00B95D6E" w:rsidRDefault="00694556">
      <w:pPr>
        <w:spacing w:line="360" w:lineRule="auto"/>
        <w:jc w:val="both"/>
        <w:rPr>
          <w:rFonts w:ascii="Arial" w:hAnsi="Arial"/>
          <w:noProof w:val="0"/>
          <w:rtl/>
        </w:rPr>
      </w:pPr>
      <w:bookmarkStart w:id="0" w:name="NGCSBookmark"/>
      <w:bookmarkEnd w:id="0"/>
    </w:p>
    <w:p w:rsidR="00694556" w:rsidRDefault="00800A71">
      <w:pPr>
        <w:spacing w:line="360" w:lineRule="auto"/>
        <w:jc w:val="both"/>
        <w:rPr>
          <w:rFonts w:ascii="Arial" w:hAnsi="Arial"/>
          <w:noProof w:val="0"/>
          <w:rtl/>
        </w:rPr>
      </w:pPr>
      <w:r>
        <w:rPr>
          <w:rFonts w:ascii="Arial" w:hAnsi="Arial" w:hint="cs"/>
          <w:noProof w:val="0"/>
          <w:rtl/>
        </w:rPr>
        <w:t>לפניי בקשה</w:t>
      </w:r>
      <w:r w:rsidR="00BB35F1">
        <w:rPr>
          <w:rFonts w:ascii="Arial" w:hAnsi="Arial" w:hint="cs"/>
          <w:noProof w:val="0"/>
          <w:rtl/>
        </w:rPr>
        <w:t xml:space="preserve"> לפי סעיף 5 לחוק ההסגרה, התש</w:t>
      </w:r>
      <w:r>
        <w:rPr>
          <w:rFonts w:ascii="Arial" w:hAnsi="Arial" w:hint="cs"/>
          <w:noProof w:val="0"/>
          <w:rtl/>
        </w:rPr>
        <w:t>י</w:t>
      </w:r>
      <w:r w:rsidR="00BB35F1">
        <w:rPr>
          <w:rFonts w:ascii="Arial" w:hAnsi="Arial" w:hint="cs"/>
          <w:noProof w:val="0"/>
          <w:rtl/>
        </w:rPr>
        <w:t xml:space="preserve">"ד-1954 (להלן </w:t>
      </w:r>
      <w:r w:rsidR="00BB35F1">
        <w:rPr>
          <w:rFonts w:ascii="Arial" w:hAnsi="Arial"/>
          <w:noProof w:val="0"/>
          <w:rtl/>
        </w:rPr>
        <w:t>–</w:t>
      </w:r>
      <w:r w:rsidR="00BB35F1">
        <w:rPr>
          <w:rFonts w:ascii="Arial" w:hAnsi="Arial" w:hint="cs"/>
          <w:noProof w:val="0"/>
          <w:rtl/>
        </w:rPr>
        <w:t xml:space="preserve"> </w:t>
      </w:r>
      <w:r>
        <w:rPr>
          <w:rFonts w:ascii="Arial" w:hAnsi="Arial" w:hint="cs"/>
          <w:noProof w:val="0"/>
          <w:rtl/>
        </w:rPr>
        <w:t>"</w:t>
      </w:r>
      <w:r w:rsidRPr="00800A71">
        <w:rPr>
          <w:rFonts w:ascii="Arial" w:hAnsi="Arial" w:hint="cs"/>
          <w:b/>
          <w:bCs/>
          <w:noProof w:val="0"/>
          <w:rtl/>
        </w:rPr>
        <w:t>חוק ההסגרה</w:t>
      </w:r>
      <w:r>
        <w:rPr>
          <w:rFonts w:ascii="Arial" w:hAnsi="Arial" w:hint="cs"/>
          <w:noProof w:val="0"/>
          <w:rtl/>
        </w:rPr>
        <w:t xml:space="preserve">" או </w:t>
      </w:r>
      <w:r w:rsidR="00BB35F1">
        <w:rPr>
          <w:rFonts w:ascii="Arial" w:hAnsi="Arial" w:hint="cs"/>
          <w:noProof w:val="0"/>
          <w:rtl/>
        </w:rPr>
        <w:t>"</w:t>
      </w:r>
      <w:r w:rsidR="00BB35F1">
        <w:rPr>
          <w:rFonts w:ascii="Arial" w:hAnsi="Arial" w:hint="cs"/>
          <w:b/>
          <w:bCs/>
          <w:noProof w:val="0"/>
          <w:rtl/>
        </w:rPr>
        <w:t>החוק</w:t>
      </w:r>
      <w:r w:rsidR="00BB35F1">
        <w:rPr>
          <w:rFonts w:ascii="Arial" w:hAnsi="Arial" w:hint="cs"/>
          <w:noProof w:val="0"/>
          <w:rtl/>
        </w:rPr>
        <w:t>") למעצר המשיב עד למתן החלטה בעתירה להכרזתו בר הסגרה למקסיקו.</w:t>
      </w:r>
    </w:p>
    <w:p w:rsidR="00BB35F1" w:rsidRDefault="00BB35F1">
      <w:pPr>
        <w:spacing w:line="360" w:lineRule="auto"/>
        <w:jc w:val="both"/>
        <w:rPr>
          <w:rFonts w:ascii="Arial" w:hAnsi="Arial"/>
          <w:noProof w:val="0"/>
          <w:rtl/>
        </w:rPr>
      </w:pPr>
    </w:p>
    <w:p w:rsidR="00BB35F1" w:rsidRDefault="00800A71">
      <w:pPr>
        <w:spacing w:line="360" w:lineRule="auto"/>
        <w:jc w:val="both"/>
        <w:rPr>
          <w:rFonts w:ascii="Arial" w:hAnsi="Arial"/>
          <w:noProof w:val="0"/>
          <w:rtl/>
        </w:rPr>
      </w:pPr>
      <w:r>
        <w:rPr>
          <w:rFonts w:ascii="Arial" w:hAnsi="Arial" w:hint="cs"/>
          <w:b/>
          <w:bCs/>
          <w:noProof w:val="0"/>
          <w:u w:val="single"/>
          <w:rtl/>
        </w:rPr>
        <w:t>רקע ובקשת המעצר</w:t>
      </w:r>
    </w:p>
    <w:p w:rsidR="00003DAE" w:rsidRDefault="00003DAE">
      <w:pPr>
        <w:spacing w:line="360" w:lineRule="auto"/>
        <w:jc w:val="both"/>
        <w:rPr>
          <w:rFonts w:ascii="Arial" w:hAnsi="Arial"/>
          <w:noProof w:val="0"/>
          <w:rtl/>
        </w:rPr>
      </w:pPr>
    </w:p>
    <w:p w:rsidR="00003DAE" w:rsidRDefault="00003DAE" w:rsidP="00003DAE">
      <w:pPr>
        <w:pStyle w:val="ad"/>
        <w:numPr>
          <w:ilvl w:val="0"/>
          <w:numId w:val="1"/>
        </w:numPr>
        <w:spacing w:line="360" w:lineRule="auto"/>
        <w:jc w:val="both"/>
        <w:rPr>
          <w:rFonts w:ascii="Arial" w:hAnsi="Arial"/>
          <w:noProof w:val="0"/>
        </w:rPr>
      </w:pPr>
      <w:r>
        <w:rPr>
          <w:rFonts w:ascii="Arial" w:hAnsi="Arial" w:hint="cs"/>
          <w:noProof w:val="0"/>
          <w:rtl/>
        </w:rPr>
        <w:t>בתאריך 10.1.2022 התקבלה במשרד החוץ בקשת ממשלת מקסיקו להסגיר לידיה את המשיב לשם העמדתו לדין בגין ביצוע עבירות אונס. בתאריך 28.4.2022 התקבלה במשרד החוץ בקשה נוספת של ממשלת מקסיקו להסגיר לידיה את המשיב לשם העמדתו לדין בגין ביצוע עבירות אונס נוספות.</w:t>
      </w:r>
    </w:p>
    <w:p w:rsidR="00003DAE" w:rsidRDefault="00003DAE" w:rsidP="00003DAE">
      <w:pPr>
        <w:spacing w:line="360" w:lineRule="auto"/>
        <w:ind w:left="360"/>
        <w:jc w:val="both"/>
        <w:rPr>
          <w:rFonts w:ascii="Arial" w:hAnsi="Arial"/>
          <w:noProof w:val="0"/>
          <w:rtl/>
        </w:rPr>
      </w:pPr>
    </w:p>
    <w:p w:rsidR="00003DAE" w:rsidRDefault="00003DAE" w:rsidP="00003DAE">
      <w:pPr>
        <w:pStyle w:val="ad"/>
        <w:numPr>
          <w:ilvl w:val="0"/>
          <w:numId w:val="1"/>
        </w:numPr>
        <w:spacing w:line="360" w:lineRule="auto"/>
        <w:jc w:val="both"/>
        <w:rPr>
          <w:rFonts w:ascii="Arial" w:hAnsi="Arial"/>
          <w:noProof w:val="0"/>
        </w:rPr>
      </w:pPr>
      <w:r>
        <w:rPr>
          <w:rFonts w:ascii="Arial" w:hAnsi="Arial" w:hint="cs"/>
          <w:noProof w:val="0"/>
          <w:rtl/>
        </w:rPr>
        <w:t>בהתאם להוראת שר המשפטים לפי סעיף 3 לחוק, הוגשה ביום 2.10.2023 עתירה להכריז על המשיב בר הסגרה למקסיקו.</w:t>
      </w:r>
    </w:p>
    <w:p w:rsidR="00A827D9" w:rsidRPr="00A827D9" w:rsidRDefault="00A827D9" w:rsidP="00A827D9">
      <w:pPr>
        <w:pStyle w:val="ad"/>
        <w:rPr>
          <w:rFonts w:ascii="Arial" w:hAnsi="Arial"/>
          <w:noProof w:val="0"/>
          <w:rtl/>
        </w:rPr>
      </w:pPr>
    </w:p>
    <w:p w:rsidR="00A827D9" w:rsidRDefault="00A827D9" w:rsidP="00A827D9">
      <w:pPr>
        <w:pStyle w:val="ad"/>
        <w:numPr>
          <w:ilvl w:val="0"/>
          <w:numId w:val="1"/>
        </w:numPr>
        <w:spacing w:line="360" w:lineRule="auto"/>
        <w:jc w:val="both"/>
        <w:rPr>
          <w:rFonts w:ascii="Arial" w:hAnsi="Arial"/>
          <w:noProof w:val="0"/>
        </w:rPr>
      </w:pPr>
      <w:r>
        <w:rPr>
          <w:rFonts w:ascii="Arial" w:hAnsi="Arial" w:hint="cs"/>
          <w:noProof w:val="0"/>
          <w:rtl/>
        </w:rPr>
        <w:t>רשויות מקסיקו ביקשו את הסגרת המשיב בגין חמישה מקרי אונס ואונס בנסיבות מחמירות. שניים מן המקרים התיישנו לפי דיני מדינת ישראל ולפיכך עתירת ההסגרה נגעה לשלושה מקרים. ביום 21.10.</w:t>
      </w:r>
      <w:r w:rsidR="00800A71">
        <w:rPr>
          <w:rFonts w:ascii="Arial" w:hAnsi="Arial" w:hint="cs"/>
          <w:noProof w:val="0"/>
          <w:rtl/>
        </w:rPr>
        <w:t xml:space="preserve">2023 הוגשה הודעה מטעם המבקשת, על פיה </w:t>
      </w:r>
      <w:r>
        <w:rPr>
          <w:rFonts w:ascii="Arial" w:hAnsi="Arial" w:hint="cs"/>
          <w:noProof w:val="0"/>
          <w:rtl/>
        </w:rPr>
        <w:t xml:space="preserve">ביום 19.10.2023 </w:t>
      </w:r>
      <w:r w:rsidR="00800A71">
        <w:rPr>
          <w:rFonts w:ascii="Arial" w:hAnsi="Arial" w:hint="cs"/>
          <w:noProof w:val="0"/>
          <w:rtl/>
        </w:rPr>
        <w:t>התקבלה הודעת רשויות מקסיקו לפיה</w:t>
      </w:r>
      <w:r>
        <w:rPr>
          <w:rFonts w:ascii="Arial" w:hAnsi="Arial" w:hint="cs"/>
          <w:noProof w:val="0"/>
          <w:rtl/>
        </w:rPr>
        <w:t xml:space="preserve"> אחד מצווי המעצר שהוצאו נגד המשיב אינו עוד בר ביצוע ולפיכך רשויות מקסיקו מושכות את הבקשה </w:t>
      </w:r>
      <w:r w:rsidR="00507C2F">
        <w:rPr>
          <w:rFonts w:ascii="Arial" w:hAnsi="Arial" w:hint="cs"/>
          <w:noProof w:val="0"/>
          <w:rtl/>
        </w:rPr>
        <w:t>להסגרת המשיב בגין תיק זה, באופן שמעצרו של המשיב מתבקש עתה בגין שני תיקים בלבד.</w:t>
      </w:r>
    </w:p>
    <w:p w:rsidR="00507C2F" w:rsidRPr="00507C2F" w:rsidRDefault="00507C2F" w:rsidP="00507C2F">
      <w:pPr>
        <w:pStyle w:val="ad"/>
        <w:rPr>
          <w:rFonts w:ascii="Arial" w:hAnsi="Arial"/>
          <w:noProof w:val="0"/>
          <w:rtl/>
        </w:rPr>
      </w:pPr>
    </w:p>
    <w:p w:rsidR="00507C2F" w:rsidRDefault="00507C2F" w:rsidP="00A827D9">
      <w:pPr>
        <w:pStyle w:val="ad"/>
        <w:numPr>
          <w:ilvl w:val="0"/>
          <w:numId w:val="1"/>
        </w:numPr>
        <w:spacing w:line="360" w:lineRule="auto"/>
        <w:jc w:val="both"/>
        <w:rPr>
          <w:rFonts w:ascii="Arial" w:hAnsi="Arial"/>
          <w:noProof w:val="0"/>
        </w:rPr>
      </w:pPr>
      <w:r>
        <w:rPr>
          <w:rFonts w:ascii="Arial" w:hAnsi="Arial" w:hint="cs"/>
          <w:noProof w:val="0"/>
          <w:rtl/>
        </w:rPr>
        <w:t>שני התיקים הרלוונטיים לענייננו יתוארו בקצרה מאוד להלן.</w:t>
      </w:r>
    </w:p>
    <w:p w:rsidR="00507C2F" w:rsidRDefault="00507C2F" w:rsidP="00507C2F">
      <w:pPr>
        <w:spacing w:line="360" w:lineRule="auto"/>
        <w:ind w:left="720"/>
        <w:jc w:val="both"/>
        <w:rPr>
          <w:rFonts w:ascii="Arial" w:hAnsi="Arial"/>
          <w:noProof w:val="0"/>
          <w:rtl/>
        </w:rPr>
      </w:pPr>
      <w:r w:rsidRPr="00D40A5E">
        <w:rPr>
          <w:rFonts w:ascii="Arial" w:hAnsi="Arial" w:hint="cs"/>
          <w:b/>
          <w:bCs/>
          <w:noProof w:val="0"/>
          <w:u w:val="single"/>
          <w:rtl/>
        </w:rPr>
        <w:t>בתיק 012/2400/2021</w:t>
      </w:r>
      <w:r>
        <w:rPr>
          <w:rFonts w:ascii="Arial" w:hAnsi="Arial" w:hint="cs"/>
          <w:noProof w:val="0"/>
          <w:rtl/>
        </w:rPr>
        <w:t xml:space="preserve"> מדובר (על פי בקשת ההסגרה) באירוע מיום 4.11.2013. נטען כי המשיב יצר קשר עם המתלוננת, שעסקה בשיווק מוצרים ברשתות החברתיות, באמצעות הפייסבוק וביקש לפגוש אותה בבית קפה ביום 4.11.2013. על פי בקשת ההסגרה, המשיב לא הגיע לפגישה בבית הקפה וביקש מן המתלוננת להגיע לביתו הפרטי הנמצא בקרבת מקום, שם הוא אנס אותה.</w:t>
      </w:r>
    </w:p>
    <w:p w:rsidR="00507C2F" w:rsidRDefault="00507C2F" w:rsidP="00886E79">
      <w:pPr>
        <w:spacing w:line="360" w:lineRule="auto"/>
        <w:ind w:left="720"/>
        <w:jc w:val="both"/>
        <w:rPr>
          <w:rFonts w:ascii="Arial" w:hAnsi="Arial"/>
          <w:noProof w:val="0"/>
          <w:rtl/>
        </w:rPr>
      </w:pPr>
      <w:r w:rsidRPr="00D40A5E">
        <w:rPr>
          <w:rFonts w:ascii="Arial" w:hAnsi="Arial" w:hint="cs"/>
          <w:b/>
          <w:bCs/>
          <w:noProof w:val="0"/>
          <w:u w:val="single"/>
          <w:rtl/>
        </w:rPr>
        <w:t>בתיק 012/0840/2021</w:t>
      </w:r>
      <w:r>
        <w:rPr>
          <w:rFonts w:ascii="Arial" w:hAnsi="Arial" w:hint="cs"/>
          <w:noProof w:val="0"/>
          <w:rtl/>
        </w:rPr>
        <w:t xml:space="preserve"> מדובר, על פי בקשת ההסגרה, באירוע מיום 25.11.2017. נטען כי המשיב יצר קשר עם מתלוננת</w:t>
      </w:r>
      <w:r w:rsidR="00886E79">
        <w:rPr>
          <w:rFonts w:ascii="Arial" w:hAnsi="Arial" w:hint="cs"/>
          <w:noProof w:val="0"/>
          <w:rtl/>
        </w:rPr>
        <w:t xml:space="preserve"> אחרת</w:t>
      </w:r>
      <w:r>
        <w:rPr>
          <w:rFonts w:ascii="Arial" w:hAnsi="Arial" w:hint="cs"/>
          <w:noProof w:val="0"/>
          <w:rtl/>
        </w:rPr>
        <w:t xml:space="preserve">, שעבדה בערוץ טלוויזיה במקסיקו, באמצעות רשת חברתית, והציע לה להגיע לביתו. על פי בקשת ההסגרה, המתלוננת הגיעה לביתו של המשיב בסביבות השעה 19:10 ושם היא נאנסה על ידו. לאחר מכן ביקשה המתלוננת לעזוב אולם המשיב אחז בידה בחוזקה והוליכה למסעדה הסמוכה לביתו, שם הסתגרה </w:t>
      </w:r>
      <w:r w:rsidR="00886E79">
        <w:rPr>
          <w:rFonts w:ascii="Arial" w:hAnsi="Arial" w:hint="cs"/>
          <w:noProof w:val="0"/>
          <w:rtl/>
        </w:rPr>
        <w:t>המתלוננת בחדר</w:t>
      </w:r>
      <w:r>
        <w:rPr>
          <w:rFonts w:ascii="Arial" w:hAnsi="Arial" w:hint="cs"/>
          <w:noProof w:val="0"/>
          <w:rtl/>
        </w:rPr>
        <w:t xml:space="preserve"> השירותים למשך כ-45 דקות בתקווה כי המשיב יעזוב את המקום. המשיב המתין ליציאתה ואז אמר למתלוננת כי נהגו יחזיר אותה לביתה. מששבו לביתו של המשיב בסביבות בשעה 21:05, אנס המשיב את המתלוננת </w:t>
      </w:r>
      <w:r w:rsidR="00886E79">
        <w:rPr>
          <w:rFonts w:ascii="Arial" w:hAnsi="Arial" w:hint="cs"/>
          <w:noProof w:val="0"/>
          <w:rtl/>
        </w:rPr>
        <w:t>פעם נוספת, תוך שימוש בכוח.</w:t>
      </w:r>
    </w:p>
    <w:p w:rsidR="00507C2F" w:rsidRDefault="00507C2F" w:rsidP="00507C2F">
      <w:pPr>
        <w:spacing w:line="360" w:lineRule="auto"/>
        <w:ind w:left="720"/>
        <w:jc w:val="both"/>
        <w:rPr>
          <w:rFonts w:ascii="Arial" w:hAnsi="Arial"/>
          <w:noProof w:val="0"/>
          <w:rtl/>
        </w:rPr>
      </w:pPr>
    </w:p>
    <w:p w:rsidR="009209C1" w:rsidRDefault="00507C2F" w:rsidP="009209C1">
      <w:pPr>
        <w:pStyle w:val="ad"/>
        <w:numPr>
          <w:ilvl w:val="0"/>
          <w:numId w:val="1"/>
        </w:numPr>
        <w:spacing w:line="360" w:lineRule="auto"/>
        <w:jc w:val="both"/>
        <w:rPr>
          <w:rFonts w:ascii="Arial" w:hAnsi="Arial"/>
          <w:noProof w:val="0"/>
        </w:rPr>
      </w:pPr>
      <w:r>
        <w:rPr>
          <w:rFonts w:ascii="Arial" w:hAnsi="Arial" w:hint="cs"/>
          <w:noProof w:val="0"/>
          <w:rtl/>
        </w:rPr>
        <w:t>לבקשת ההסגרה צורפו, מלבד הודעותיהן</w:t>
      </w:r>
      <w:r w:rsidR="009209C1">
        <w:rPr>
          <w:rFonts w:ascii="Arial" w:hAnsi="Arial" w:hint="cs"/>
          <w:noProof w:val="0"/>
          <w:rtl/>
        </w:rPr>
        <w:t xml:space="preserve"> של חמש המתלוננות,</w:t>
      </w:r>
      <w:r w:rsidR="009209C1" w:rsidRPr="009209C1">
        <w:rPr>
          <w:rFonts w:ascii="Arial" w:hAnsi="Arial" w:hint="cs"/>
          <w:noProof w:val="0"/>
          <w:rtl/>
        </w:rPr>
        <w:t xml:space="preserve"> הודעותיהם של חברים או קרובים ששמעו על האירועים מפיהן</w:t>
      </w:r>
      <w:r w:rsidR="009209C1">
        <w:rPr>
          <w:rFonts w:ascii="Arial" w:hAnsi="Arial" w:hint="cs"/>
          <w:noProof w:val="0"/>
          <w:rtl/>
        </w:rPr>
        <w:t xml:space="preserve"> של המתלוננות בזמן אמת ותיארו, בין היתר, את השפעת האירועים על חייהן; חוות דעת של מומחי פסיכולוגיה המלמדות על השלכות המעשים על המתלוננות; ודו</w:t>
      </w:r>
      <w:r w:rsidR="00137358">
        <w:rPr>
          <w:rFonts w:ascii="Arial" w:hAnsi="Arial" w:hint="cs"/>
          <w:noProof w:val="0"/>
          <w:rtl/>
        </w:rPr>
        <w:t>"</w:t>
      </w:r>
      <w:r w:rsidR="009209C1">
        <w:rPr>
          <w:rFonts w:ascii="Arial" w:hAnsi="Arial" w:hint="cs"/>
          <w:noProof w:val="0"/>
          <w:rtl/>
        </w:rPr>
        <w:t>חות של מומחים לעבירות מין.</w:t>
      </w:r>
    </w:p>
    <w:p w:rsidR="00137358" w:rsidRDefault="00137358" w:rsidP="00137358">
      <w:pPr>
        <w:pStyle w:val="ad"/>
        <w:spacing w:line="360" w:lineRule="auto"/>
        <w:jc w:val="both"/>
        <w:rPr>
          <w:rFonts w:ascii="Arial" w:hAnsi="Arial"/>
          <w:noProof w:val="0"/>
          <w:rtl/>
        </w:rPr>
      </w:pPr>
    </w:p>
    <w:p w:rsidR="00137358" w:rsidRDefault="00137358" w:rsidP="00137358">
      <w:pPr>
        <w:pStyle w:val="ad"/>
        <w:numPr>
          <w:ilvl w:val="0"/>
          <w:numId w:val="1"/>
        </w:numPr>
        <w:spacing w:line="360" w:lineRule="auto"/>
        <w:jc w:val="both"/>
        <w:rPr>
          <w:rFonts w:ascii="Arial" w:hAnsi="Arial"/>
          <w:noProof w:val="0"/>
        </w:rPr>
      </w:pPr>
      <w:r>
        <w:rPr>
          <w:rFonts w:ascii="Arial" w:hAnsi="Arial" w:hint="cs"/>
          <w:noProof w:val="0"/>
          <w:rtl/>
        </w:rPr>
        <w:t>המשיב נכנס לישראל בתאריך 12.3.2021 באמצעות דרכון אוסטרי ומאז לא יצא ממנה. נטען כי היותו של המשיב אזרח אוסטריה, שאינה מסגירה את אזרחיה, מעצימה את סכנת הימלטותו מהליך ההסגרה ומחלישה את היכולת לפקח על הימצאותו בישראל.</w:t>
      </w:r>
    </w:p>
    <w:p w:rsidR="00137358" w:rsidRPr="00137358" w:rsidRDefault="00137358" w:rsidP="00137358">
      <w:pPr>
        <w:pStyle w:val="ad"/>
        <w:rPr>
          <w:rFonts w:ascii="Arial" w:hAnsi="Arial"/>
          <w:noProof w:val="0"/>
          <w:rtl/>
        </w:rPr>
      </w:pPr>
    </w:p>
    <w:p w:rsidR="00137358" w:rsidRDefault="00137358" w:rsidP="00886E79">
      <w:pPr>
        <w:pStyle w:val="ad"/>
        <w:numPr>
          <w:ilvl w:val="0"/>
          <w:numId w:val="1"/>
        </w:numPr>
        <w:spacing w:line="360" w:lineRule="auto"/>
        <w:jc w:val="both"/>
        <w:rPr>
          <w:rFonts w:ascii="Arial" w:hAnsi="Arial"/>
          <w:noProof w:val="0"/>
        </w:rPr>
      </w:pPr>
      <w:r>
        <w:rPr>
          <w:rFonts w:ascii="Arial" w:hAnsi="Arial" w:hint="cs"/>
          <w:noProof w:val="0"/>
          <w:rtl/>
        </w:rPr>
        <w:t>המשיב הוא אזרח מקסיקני, סופר, אקדמאי, בעל תואר בכלכלה ותואר במשפטים, בעל תואר שני מאוניברסיטת הרו</w:t>
      </w:r>
      <w:r w:rsidR="00886E79">
        <w:rPr>
          <w:rFonts w:ascii="Arial" w:hAnsi="Arial" w:hint="cs"/>
          <w:noProof w:val="0"/>
          <w:rtl/>
        </w:rPr>
        <w:t>ו</w:t>
      </w:r>
      <w:r>
        <w:rPr>
          <w:rFonts w:ascii="Arial" w:hAnsi="Arial" w:hint="cs"/>
          <w:noProof w:val="0"/>
          <w:rtl/>
        </w:rPr>
        <w:t>ארד, אותו סיים בהצטיינות. המשיב השלים דוקטורט באוניברסיטת ברקלי ובנוסף כתב 18 ספרים ו-2 מחזות. המשיב מונה בחודש אפריל 2016 כנציג מקסיקו באונסק"ו. בתאריך 13.10.2016 נערכה הצבעה של אונסק"ו על החלטה בדבר ניתוק הזיקה בין מדינת ישראל והעם היהודי לכותל המערבי והר הבית. במכתב מיום 1.10.2016 הביע המשיב את אי הסכמתו לכוונת מקסיקו להצביע בעד ההחלטה, ובתאריך 13.10.2016 בעת קיום ההצבעה, המשיב קם ויצא מחדר ההצבעה במחווה של אי הסכמה עם החלטת ממשלת מקסיקו להצביע בעד ההחלטה. בעקבות כך, הודח המשיב מתפקידו. בחודשים שלאחר האירוע הנ"ל, קיבל המשיב פרסים שונים על פועלו לטובת זכויות אדם וביום 7.10.2019 החליטה עיריית רמת גן לקרוא רחוב בעיר על שמו (</w:t>
      </w:r>
      <w:r w:rsidR="00DD2992">
        <w:rPr>
          <w:rFonts w:ascii="Arial" w:hAnsi="Arial" w:hint="cs"/>
          <w:noProof w:val="0"/>
          <w:rtl/>
        </w:rPr>
        <w:t xml:space="preserve">"אנדרס רומר") כמחווה </w:t>
      </w:r>
      <w:r w:rsidR="00886E79">
        <w:rPr>
          <w:rFonts w:ascii="Arial" w:hAnsi="Arial" w:hint="cs"/>
          <w:noProof w:val="0"/>
          <w:rtl/>
        </w:rPr>
        <w:t>ש</w:t>
      </w:r>
      <w:r w:rsidR="00DD2992">
        <w:rPr>
          <w:rFonts w:ascii="Arial" w:hAnsi="Arial" w:hint="cs"/>
          <w:noProof w:val="0"/>
          <w:rtl/>
        </w:rPr>
        <w:t>ל הכרת תודה על המחווה של המשיב.</w:t>
      </w:r>
    </w:p>
    <w:p w:rsidR="001D7EA5" w:rsidRDefault="001D7EA5" w:rsidP="001D7EA5">
      <w:pPr>
        <w:ind w:left="360"/>
        <w:rPr>
          <w:rFonts w:ascii="Arial" w:hAnsi="Arial"/>
          <w:noProof w:val="0"/>
          <w:rtl/>
        </w:rPr>
      </w:pPr>
    </w:p>
    <w:p w:rsidR="001D7EA5" w:rsidRPr="001D7EA5" w:rsidRDefault="001D7EA5" w:rsidP="001D7EA5">
      <w:pPr>
        <w:ind w:left="360"/>
        <w:rPr>
          <w:rFonts w:ascii="Arial" w:hAnsi="Arial"/>
          <w:b/>
          <w:bCs/>
          <w:noProof w:val="0"/>
          <w:u w:val="single"/>
          <w:rtl/>
        </w:rPr>
      </w:pPr>
      <w:r w:rsidRPr="001D7EA5">
        <w:rPr>
          <w:rFonts w:ascii="Arial" w:hAnsi="Arial" w:hint="cs"/>
          <w:b/>
          <w:bCs/>
          <w:noProof w:val="0"/>
          <w:u w:val="single"/>
          <w:rtl/>
        </w:rPr>
        <w:t xml:space="preserve">טענות המשיב </w:t>
      </w:r>
    </w:p>
    <w:p w:rsidR="001D7EA5" w:rsidRPr="001D7EA5" w:rsidRDefault="001D7EA5" w:rsidP="001D7EA5">
      <w:pPr>
        <w:ind w:left="360"/>
        <w:rPr>
          <w:rFonts w:ascii="Arial" w:hAnsi="Arial"/>
          <w:noProof w:val="0"/>
          <w:rtl/>
        </w:rPr>
      </w:pPr>
    </w:p>
    <w:p w:rsidR="001D7EA5" w:rsidRDefault="007D72E0" w:rsidP="007D72E0">
      <w:pPr>
        <w:pStyle w:val="ad"/>
        <w:numPr>
          <w:ilvl w:val="0"/>
          <w:numId w:val="1"/>
        </w:numPr>
        <w:spacing w:line="360" w:lineRule="auto"/>
        <w:jc w:val="both"/>
        <w:rPr>
          <w:rFonts w:ascii="Arial" w:hAnsi="Arial"/>
          <w:noProof w:val="0"/>
        </w:rPr>
      </w:pPr>
      <w:r>
        <w:rPr>
          <w:rFonts w:ascii="Arial" w:hAnsi="Arial" w:hint="cs"/>
          <w:noProof w:val="0"/>
          <w:rtl/>
        </w:rPr>
        <w:t xml:space="preserve">בפי המשיב </w:t>
      </w:r>
      <w:r w:rsidR="00886E79">
        <w:rPr>
          <w:rFonts w:ascii="Arial" w:hAnsi="Arial" w:hint="cs"/>
          <w:noProof w:val="0"/>
          <w:rtl/>
        </w:rPr>
        <w:t>מספר טענות</w:t>
      </w:r>
      <w:r>
        <w:rPr>
          <w:rFonts w:ascii="Arial" w:hAnsi="Arial" w:hint="cs"/>
          <w:noProof w:val="0"/>
          <w:rtl/>
        </w:rPr>
        <w:t>, אשר יתוארו כאן בתמצית.</w:t>
      </w:r>
    </w:p>
    <w:p w:rsidR="007D72E0" w:rsidRPr="007D72E0" w:rsidRDefault="007D72E0" w:rsidP="007D72E0">
      <w:pPr>
        <w:pStyle w:val="ad"/>
        <w:spacing w:line="360" w:lineRule="auto"/>
        <w:jc w:val="both"/>
        <w:rPr>
          <w:rFonts w:ascii="Arial" w:hAnsi="Arial"/>
          <w:noProof w:val="0"/>
          <w:rtl/>
        </w:rPr>
      </w:pPr>
    </w:p>
    <w:p w:rsidR="007D72E0" w:rsidRDefault="007D72E0" w:rsidP="00090192">
      <w:pPr>
        <w:pStyle w:val="ad"/>
        <w:numPr>
          <w:ilvl w:val="0"/>
          <w:numId w:val="1"/>
        </w:numPr>
        <w:spacing w:line="360" w:lineRule="auto"/>
        <w:jc w:val="both"/>
        <w:rPr>
          <w:rFonts w:ascii="Arial" w:hAnsi="Arial"/>
          <w:noProof w:val="0"/>
        </w:rPr>
      </w:pPr>
      <w:r>
        <w:rPr>
          <w:rFonts w:ascii="Arial" w:hAnsi="Arial" w:hint="cs"/>
          <w:noProof w:val="0"/>
          <w:rtl/>
        </w:rPr>
        <w:t xml:space="preserve">ראשית, נטען כי אין לישראל הסכם הסגרה עם מקסיקו ולפי כל קנה מידה מערבי מקובל, מערכת המשפט במקסיקו ידועה כמערכת משפט שאינה חותרת להשכין צדק ואינה דואגת לזכויות אדם ולפיכך, קיים חשש ממשי לאי קיום הליך משפט הוגן. המשיב הסתמך על מסמך שפורסם בחודש ספטמבר 2023 והופק על ידי מועצת עורכי הדין לזכויות אזרחיות וכלכליות של מרכז סיירוס ואנס </w:t>
      </w:r>
      <w:r w:rsidR="00090192">
        <w:rPr>
          <w:rFonts w:ascii="Arial" w:hAnsi="Arial" w:hint="cs"/>
          <w:noProof w:val="0"/>
          <w:rtl/>
        </w:rPr>
        <w:t xml:space="preserve">לצדק </w:t>
      </w:r>
      <w:r>
        <w:rPr>
          <w:rFonts w:ascii="Arial" w:hAnsi="Arial" w:hint="cs"/>
          <w:noProof w:val="0"/>
          <w:rtl/>
        </w:rPr>
        <w:t>בינלאומי של לשכת עורכי הדין בניו-יורק</w:t>
      </w:r>
      <w:r w:rsidR="00090192">
        <w:rPr>
          <w:rFonts w:ascii="Arial" w:hAnsi="Arial" w:hint="cs"/>
          <w:noProof w:val="0"/>
          <w:rtl/>
        </w:rPr>
        <w:t>, פדרציית שופטי השלום של אמריקה הלטינית ולשכת עורכי הדין המקסיקנית. בהקשר זה נטען שלא ניתן נימוק מיוחד מדוע הוחלט ל</w:t>
      </w:r>
      <w:r w:rsidR="00886E79">
        <w:rPr>
          <w:rFonts w:ascii="Arial" w:hAnsi="Arial" w:hint="cs"/>
          <w:noProof w:val="0"/>
          <w:rtl/>
        </w:rPr>
        <w:t>חתום על הסכם להסגרת המשיב</w:t>
      </w:r>
      <w:r w:rsidR="00090192">
        <w:rPr>
          <w:rFonts w:ascii="Arial" w:hAnsi="Arial" w:hint="cs"/>
          <w:noProof w:val="0"/>
          <w:rtl/>
        </w:rPr>
        <w:t xml:space="preserve"> וכי זו הפעם הראשונה שמתבקשת הסגרה למקסיקו.</w:t>
      </w:r>
    </w:p>
    <w:p w:rsidR="00D40A5E" w:rsidRPr="00D40A5E" w:rsidRDefault="00D40A5E" w:rsidP="00D40A5E">
      <w:pPr>
        <w:pStyle w:val="ad"/>
        <w:rPr>
          <w:rFonts w:ascii="Arial" w:hAnsi="Arial"/>
          <w:noProof w:val="0"/>
          <w:rtl/>
        </w:rPr>
      </w:pPr>
    </w:p>
    <w:p w:rsidR="00D40A5E" w:rsidRDefault="00D40A5E" w:rsidP="00D40A5E">
      <w:pPr>
        <w:pStyle w:val="ad"/>
        <w:numPr>
          <w:ilvl w:val="0"/>
          <w:numId w:val="1"/>
        </w:numPr>
        <w:spacing w:line="360" w:lineRule="auto"/>
        <w:jc w:val="both"/>
        <w:rPr>
          <w:rFonts w:ascii="Arial" w:hAnsi="Arial"/>
          <w:noProof w:val="0"/>
        </w:rPr>
      </w:pPr>
      <w:r>
        <w:rPr>
          <w:rFonts w:ascii="Arial" w:hAnsi="Arial" w:hint="cs"/>
          <w:noProof w:val="0"/>
          <w:rtl/>
        </w:rPr>
        <w:t>שנית, נטען כי מדובר "בתיק מנופח" המבוסס על עדויות כבושות. נטען בהקשר זה כי בקשת ההסגרה המעודכנת מבוססת על שני תיקים בלבד, כאשר בשניהם יש למשיב אליבי מוצק, שכלל לא נבחן על ידי הרשויות במקסיקו. להלן הפרטים בתמצית:</w:t>
      </w:r>
    </w:p>
    <w:p w:rsidR="00D40A5E" w:rsidRDefault="00D40A5E" w:rsidP="00D40A5E">
      <w:pPr>
        <w:spacing w:line="360" w:lineRule="auto"/>
        <w:ind w:left="720"/>
        <w:jc w:val="both"/>
        <w:rPr>
          <w:rFonts w:ascii="Arial" w:hAnsi="Arial"/>
          <w:noProof w:val="0"/>
          <w:rtl/>
        </w:rPr>
      </w:pPr>
      <w:r w:rsidRPr="00D40A5E">
        <w:rPr>
          <w:rFonts w:ascii="Arial" w:hAnsi="Arial" w:hint="cs"/>
          <w:b/>
          <w:bCs/>
          <w:noProof w:val="0"/>
          <w:u w:val="single"/>
          <w:rtl/>
        </w:rPr>
        <w:t>בתיק 012/2400/2021</w:t>
      </w:r>
      <w:r>
        <w:rPr>
          <w:rFonts w:ascii="Arial" w:hAnsi="Arial" w:hint="cs"/>
          <w:noProof w:val="0"/>
          <w:rtl/>
        </w:rPr>
        <w:t xml:space="preserve"> טענה המתלוננת בתצהירה כי היא והמשיב קבעו להיפגש ביום 4.11.2013 במסעדת "רומא ביסטרו", אולם מסעדה זו לא הי</w:t>
      </w:r>
      <w:r w:rsidR="00886E79">
        <w:rPr>
          <w:rFonts w:ascii="Arial" w:hAnsi="Arial" w:hint="cs"/>
          <w:noProof w:val="0"/>
          <w:rtl/>
        </w:rPr>
        <w:t>יתה קיימת כלל באותה שנה והיא הוק</w:t>
      </w:r>
      <w:r>
        <w:rPr>
          <w:rFonts w:ascii="Arial" w:hAnsi="Arial" w:hint="cs"/>
          <w:noProof w:val="0"/>
          <w:rtl/>
        </w:rPr>
        <w:t>מה רק בשנת 2018, בעוד שבחודש נובמבר 2013 היה במקום בית מגורים משפחתי וחנות אומנות.</w:t>
      </w:r>
    </w:p>
    <w:p w:rsidR="00694556" w:rsidRDefault="00164D3E" w:rsidP="00164D3E">
      <w:pPr>
        <w:spacing w:line="360" w:lineRule="auto"/>
        <w:ind w:left="720"/>
        <w:jc w:val="both"/>
        <w:rPr>
          <w:rFonts w:ascii="Arial" w:hAnsi="Arial"/>
          <w:noProof w:val="0"/>
          <w:rtl/>
        </w:rPr>
      </w:pPr>
      <w:r>
        <w:rPr>
          <w:rFonts w:ascii="Arial" w:hAnsi="Arial" w:hint="cs"/>
          <w:b/>
          <w:bCs/>
          <w:noProof w:val="0"/>
          <w:u w:val="single"/>
          <w:rtl/>
        </w:rPr>
        <w:t>בתיק 012/0840/2021</w:t>
      </w:r>
      <w:r>
        <w:rPr>
          <w:rFonts w:ascii="Arial" w:hAnsi="Arial" w:hint="cs"/>
          <w:noProof w:val="0"/>
          <w:rtl/>
        </w:rPr>
        <w:t xml:space="preserve"> טענה המתלוננת בתצהירה כי העבירה בוצעה בתאריך 25.11.2017 כאשר נהגו של המשיב אסף אותה בשעה 17:00 והם הגיעו לביתו של המשיב בשעה 18:00 או 18:30 ואז החל האירוע (בשעות 19:10 עד 21:10 לפי עתירת ההסגרה). לטענת המשיב, הוא טס</w:t>
      </w:r>
      <w:r w:rsidR="00886E79">
        <w:rPr>
          <w:rFonts w:ascii="Arial" w:hAnsi="Arial" w:hint="cs"/>
          <w:noProof w:val="0"/>
          <w:rtl/>
        </w:rPr>
        <w:t xml:space="preserve"> לארה"ב</w:t>
      </w:r>
      <w:r>
        <w:rPr>
          <w:rFonts w:ascii="Arial" w:hAnsi="Arial" w:hint="cs"/>
          <w:noProof w:val="0"/>
          <w:rtl/>
        </w:rPr>
        <w:t>, יחד עם בני משפחתו, באותו יום בשעה 15:35 לצו</w:t>
      </w:r>
      <w:r w:rsidR="00886E79">
        <w:rPr>
          <w:rFonts w:ascii="Arial" w:hAnsi="Arial" w:hint="cs"/>
          <w:noProof w:val="0"/>
          <w:rtl/>
        </w:rPr>
        <w:t>רך ניתוח של בנו</w:t>
      </w:r>
      <w:r>
        <w:rPr>
          <w:rFonts w:ascii="Arial" w:hAnsi="Arial" w:hint="cs"/>
          <w:noProof w:val="0"/>
          <w:rtl/>
        </w:rPr>
        <w:t xml:space="preserve">. נטען כי גרסתו לא נבחנה על ידי הרשויות במקסיקו ובית המשפט לצדק </w:t>
      </w:r>
      <w:r w:rsidR="009951EB">
        <w:rPr>
          <w:rFonts w:ascii="Arial" w:hAnsi="Arial" w:hint="cs"/>
          <w:noProof w:val="0"/>
          <w:rtl/>
        </w:rPr>
        <w:t>במקסיקו דחה עתירה לביטול צו המעצר, חרף קיומה של טענת אליבי</w:t>
      </w:r>
      <w:r w:rsidR="00886E79">
        <w:rPr>
          <w:rFonts w:ascii="Arial" w:hAnsi="Arial" w:hint="cs"/>
          <w:noProof w:val="0"/>
          <w:rtl/>
        </w:rPr>
        <w:t>,</w:t>
      </w:r>
      <w:r w:rsidR="009951EB">
        <w:rPr>
          <w:rFonts w:ascii="Arial" w:hAnsi="Arial" w:hint="cs"/>
          <w:noProof w:val="0"/>
          <w:rtl/>
        </w:rPr>
        <w:t xml:space="preserve"> שלא נבחנה.</w:t>
      </w:r>
    </w:p>
    <w:p w:rsidR="009951EB" w:rsidRDefault="009951EB" w:rsidP="00164D3E">
      <w:pPr>
        <w:spacing w:line="360" w:lineRule="auto"/>
        <w:ind w:left="720"/>
        <w:jc w:val="both"/>
        <w:rPr>
          <w:rFonts w:ascii="Arial" w:hAnsi="Arial"/>
          <w:noProof w:val="0"/>
          <w:rtl/>
        </w:rPr>
      </w:pPr>
    </w:p>
    <w:p w:rsidR="009951EB" w:rsidRDefault="009951EB" w:rsidP="00DF4144">
      <w:pPr>
        <w:pStyle w:val="ad"/>
        <w:numPr>
          <w:ilvl w:val="0"/>
          <w:numId w:val="1"/>
        </w:numPr>
        <w:spacing w:line="360" w:lineRule="auto"/>
        <w:jc w:val="both"/>
        <w:rPr>
          <w:rFonts w:ascii="Arial" w:hAnsi="Arial"/>
          <w:noProof w:val="0"/>
        </w:rPr>
      </w:pPr>
      <w:r>
        <w:rPr>
          <w:rFonts w:ascii="Arial" w:hAnsi="Arial" w:hint="cs"/>
          <w:noProof w:val="0"/>
          <w:rtl/>
        </w:rPr>
        <w:t xml:space="preserve">שלישית, נטען כי מה שעומד מאחורי הגשת התלונות ופתיחת התיקים במקסיקו </w:t>
      </w:r>
      <w:r w:rsidR="00DF4144">
        <w:rPr>
          <w:rFonts w:ascii="Arial" w:hAnsi="Arial" w:hint="cs"/>
          <w:noProof w:val="0"/>
          <w:rtl/>
        </w:rPr>
        <w:t>ז</w:t>
      </w:r>
      <w:r>
        <w:rPr>
          <w:rFonts w:ascii="Arial" w:hAnsi="Arial" w:hint="cs"/>
          <w:noProof w:val="0"/>
          <w:rtl/>
        </w:rPr>
        <w:t>ו "אג'נדה פוליטית מובהקת" ורצון הממשל לנקום במשיב, אשר נמנע מלהצביע נגד ישראל, בניגוד להנחיה מפורשת שניתנה לו על ידי ה</w:t>
      </w:r>
      <w:r w:rsidR="00186213">
        <w:rPr>
          <w:rFonts w:ascii="Arial" w:hAnsi="Arial" w:hint="cs"/>
          <w:noProof w:val="0"/>
          <w:rtl/>
        </w:rPr>
        <w:t>ממשל במקסיקו. לטענת המשיב,</w:t>
      </w:r>
      <w:r>
        <w:rPr>
          <w:rFonts w:ascii="Arial" w:hAnsi="Arial" w:hint="cs"/>
          <w:noProof w:val="0"/>
          <w:rtl/>
        </w:rPr>
        <w:t xml:space="preserve"> רקדנית במקסיקו </w:t>
      </w:r>
      <w:r w:rsidR="00186213">
        <w:rPr>
          <w:rFonts w:ascii="Arial" w:hAnsi="Arial" w:hint="cs"/>
          <w:noProof w:val="0"/>
          <w:rtl/>
        </w:rPr>
        <w:t>העלתה פוסט המאשים את המשיב ב</w:t>
      </w:r>
      <w:r>
        <w:rPr>
          <w:rFonts w:ascii="Arial" w:hAnsi="Arial" w:hint="cs"/>
          <w:noProof w:val="0"/>
          <w:rtl/>
        </w:rPr>
        <w:t>הטרדה מינית (פוסט שהוסר על ידה בהמשך) ובעקבות כך, פנתה התובעת הכללית במקסיקו מיוזמתה והזמינה נשים להגיש נגד המשיב תלונות בגין הטרדה מינית. כך, בתוך פרק זמן קצר, הוגשו עשרות רבות</w:t>
      </w:r>
      <w:r w:rsidR="00186213">
        <w:rPr>
          <w:rFonts w:ascii="Arial" w:hAnsi="Arial" w:hint="cs"/>
          <w:noProof w:val="0"/>
          <w:rtl/>
        </w:rPr>
        <w:t xml:space="preserve"> (61)</w:t>
      </w:r>
      <w:r>
        <w:rPr>
          <w:rFonts w:ascii="Arial" w:hAnsi="Arial" w:hint="cs"/>
          <w:noProof w:val="0"/>
          <w:rtl/>
        </w:rPr>
        <w:t xml:space="preserve"> של תלונות בגין הטרדה מינית, בעיקר תלונות אנונימיות שכלי התקשורת פרסמו בהרחבה. הת</w:t>
      </w:r>
      <w:r w:rsidR="00186213">
        <w:rPr>
          <w:rFonts w:ascii="Arial" w:hAnsi="Arial" w:hint="cs"/>
          <w:noProof w:val="0"/>
          <w:rtl/>
        </w:rPr>
        <w:t>נהלות זו גרמה לכך שהמשיב "הורשע</w:t>
      </w:r>
      <w:r>
        <w:rPr>
          <w:rFonts w:ascii="Arial" w:hAnsi="Arial" w:hint="cs"/>
          <w:noProof w:val="0"/>
          <w:rtl/>
        </w:rPr>
        <w:t xml:space="preserve"> על ידי התקשורת</w:t>
      </w:r>
      <w:r w:rsidR="00186213">
        <w:rPr>
          <w:rFonts w:ascii="Arial" w:hAnsi="Arial" w:hint="cs"/>
          <w:noProof w:val="0"/>
          <w:rtl/>
        </w:rPr>
        <w:t>"</w:t>
      </w:r>
      <w:r>
        <w:rPr>
          <w:rFonts w:ascii="Arial" w:hAnsi="Arial" w:hint="cs"/>
          <w:noProof w:val="0"/>
          <w:rtl/>
        </w:rPr>
        <w:t xml:space="preserve"> וזאת למרות שלא </w:t>
      </w:r>
      <w:r w:rsidR="0023356C">
        <w:rPr>
          <w:rFonts w:ascii="Arial" w:hAnsi="Arial" w:hint="cs"/>
          <w:noProof w:val="0"/>
          <w:rtl/>
        </w:rPr>
        <w:t>הוגש נגד</w:t>
      </w:r>
      <w:r w:rsidR="00186213">
        <w:rPr>
          <w:rFonts w:ascii="Arial" w:hAnsi="Arial" w:hint="cs"/>
          <w:noProof w:val="0"/>
          <w:rtl/>
        </w:rPr>
        <w:t xml:space="preserve">ו </w:t>
      </w:r>
      <w:r w:rsidR="0023356C">
        <w:rPr>
          <w:rFonts w:ascii="Arial" w:hAnsi="Arial" w:hint="cs"/>
          <w:noProof w:val="0"/>
          <w:rtl/>
        </w:rPr>
        <w:t xml:space="preserve"> כתב אישום. בשל רצונו של המשיב לנקות את שמו הוא ביצע בדיקת פוליגרף </w:t>
      </w:r>
      <w:r w:rsidR="00186213">
        <w:rPr>
          <w:rFonts w:ascii="Arial" w:hAnsi="Arial" w:hint="cs"/>
          <w:noProof w:val="0"/>
          <w:rtl/>
        </w:rPr>
        <w:t xml:space="preserve">וצירף דו"ח מיום 12.5.21 של "מכון פוליגרף אביר" ממנו עולה </w:t>
      </w:r>
      <w:r w:rsidR="0023356C">
        <w:rPr>
          <w:rFonts w:ascii="Arial" w:hAnsi="Arial" w:hint="cs"/>
          <w:noProof w:val="0"/>
          <w:rtl/>
        </w:rPr>
        <w:t>כי הוא דובר אמת.</w:t>
      </w:r>
    </w:p>
    <w:p w:rsidR="0023356C" w:rsidRDefault="0023356C" w:rsidP="0023356C">
      <w:pPr>
        <w:pStyle w:val="ad"/>
        <w:spacing w:line="360" w:lineRule="auto"/>
        <w:jc w:val="both"/>
        <w:rPr>
          <w:rFonts w:ascii="Arial" w:hAnsi="Arial"/>
          <w:noProof w:val="0"/>
          <w:rtl/>
        </w:rPr>
      </w:pPr>
    </w:p>
    <w:p w:rsidR="0023356C" w:rsidRDefault="0023356C" w:rsidP="0023356C">
      <w:pPr>
        <w:pStyle w:val="ad"/>
        <w:numPr>
          <w:ilvl w:val="0"/>
          <w:numId w:val="1"/>
        </w:numPr>
        <w:spacing w:line="360" w:lineRule="auto"/>
        <w:jc w:val="both"/>
        <w:rPr>
          <w:rFonts w:ascii="Arial" w:hAnsi="Arial"/>
          <w:noProof w:val="0"/>
        </w:rPr>
      </w:pPr>
      <w:r>
        <w:rPr>
          <w:rFonts w:ascii="Arial" w:hAnsi="Arial" w:hint="cs"/>
          <w:noProof w:val="0"/>
          <w:rtl/>
        </w:rPr>
        <w:t>רביעית, נטען כי אין חשש למסוכנות, לשיבוש מהלכי חקירה ולהימלטות. לטענת המשיב, האירועים המיוחסים לו הכלולים בבקשת ההסגרה, אירעו לפני שנם רבות ומאז לא ארע מקרה נוסף ולא הוגשו תלונות נגדו, גם לא בתקופה מאז נכנס לישראל. צוין כי למשיב אין עבר פלילי וכי בהתאם לחוות דעת של פסיכיאטר משפטי מטעם התביעה במקסיקו (מיום 2.6.2021) אין לו מאפיינים של תוקפן מיני והוא אינו סובל מהפרע</w:t>
      </w:r>
      <w:r w:rsidR="00186213">
        <w:rPr>
          <w:rFonts w:ascii="Arial" w:hAnsi="Arial" w:hint="cs"/>
          <w:noProof w:val="0"/>
          <w:rtl/>
        </w:rPr>
        <w:t>ו</w:t>
      </w:r>
      <w:r>
        <w:rPr>
          <w:rFonts w:ascii="Arial" w:hAnsi="Arial" w:hint="cs"/>
          <w:noProof w:val="0"/>
          <w:rtl/>
        </w:rPr>
        <w:t xml:space="preserve">ת אישיות ומיניות. </w:t>
      </w:r>
      <w:r w:rsidR="00E93754">
        <w:rPr>
          <w:rFonts w:ascii="Arial" w:hAnsi="Arial" w:hint="cs"/>
          <w:noProof w:val="0"/>
          <w:rtl/>
        </w:rPr>
        <w:t xml:space="preserve">יצוין כי חוות הדעת אשר צורפה כנספח 6 לתמצית עיקרי הטיעון מטעם המשיב לא תורגמה מספרדית כך שלא ניתן בשלב זה להתייחס לאמור בה. </w:t>
      </w:r>
      <w:r>
        <w:rPr>
          <w:rFonts w:ascii="Arial" w:hAnsi="Arial" w:hint="cs"/>
          <w:noProof w:val="0"/>
          <w:rtl/>
        </w:rPr>
        <w:t>עוד נטען כי המתלוננות מתגוררות במקסיקו ואין חשש לשיבוש מהלכי החקירה. כן נטען כי לא קיים חשש כי המשיב יימלט מהארץ, שכן הוא יכול היה לחיות באוסטריה, שלה אין הס</w:t>
      </w:r>
      <w:r w:rsidR="00186213">
        <w:rPr>
          <w:rFonts w:ascii="Arial" w:hAnsi="Arial" w:hint="cs"/>
          <w:noProof w:val="0"/>
          <w:rtl/>
        </w:rPr>
        <w:t xml:space="preserve">כם הסגרה עם מקסיקו, אבל הוא בחר </w:t>
      </w:r>
      <w:r>
        <w:rPr>
          <w:rFonts w:ascii="Arial" w:hAnsi="Arial" w:hint="cs"/>
          <w:noProof w:val="0"/>
          <w:rtl/>
        </w:rPr>
        <w:t>להשתקע בארץ בשל היותו יהודי. צוין כי המשיב שיתף פעולה עם הרשויות בארץ, האריך את אשרת השהייה שלו כל מספר חודשים כנדרש, הציג את גרסתו ומסר מסמכים תומכים ואף נרשם ללימודי תיירות בארץ.</w:t>
      </w:r>
    </w:p>
    <w:p w:rsidR="0023356C" w:rsidRPr="0023356C" w:rsidRDefault="0023356C" w:rsidP="0023356C">
      <w:pPr>
        <w:pStyle w:val="ad"/>
        <w:rPr>
          <w:rFonts w:ascii="Arial" w:hAnsi="Arial"/>
          <w:noProof w:val="0"/>
          <w:rtl/>
        </w:rPr>
      </w:pPr>
    </w:p>
    <w:p w:rsidR="0023356C" w:rsidRDefault="0023356C" w:rsidP="0023356C">
      <w:pPr>
        <w:pStyle w:val="ad"/>
        <w:numPr>
          <w:ilvl w:val="0"/>
          <w:numId w:val="1"/>
        </w:numPr>
        <w:spacing w:line="360" w:lineRule="auto"/>
        <w:jc w:val="both"/>
        <w:rPr>
          <w:rFonts w:ascii="Arial" w:hAnsi="Arial"/>
          <w:noProof w:val="0"/>
        </w:rPr>
      </w:pPr>
      <w:r>
        <w:rPr>
          <w:rFonts w:ascii="Arial" w:hAnsi="Arial" w:hint="cs"/>
          <w:noProof w:val="0"/>
          <w:rtl/>
        </w:rPr>
        <w:t>המשיב הציע כי ייעצר באיזוק אלקטרוני בפיקוחם של הוריו, מרים ואלן הרר</w:t>
      </w:r>
      <w:r w:rsidR="00186213">
        <w:rPr>
          <w:rFonts w:ascii="Arial" w:hAnsi="Arial" w:hint="cs"/>
          <w:noProof w:val="0"/>
          <w:rtl/>
        </w:rPr>
        <w:t>י תוך הפקדת</w:t>
      </w:r>
      <w:r>
        <w:rPr>
          <w:rFonts w:ascii="Arial" w:hAnsi="Arial" w:hint="cs"/>
          <w:noProof w:val="0"/>
          <w:rtl/>
        </w:rPr>
        <w:t xml:space="preserve"> ערבות בסך 250,000 ₪.</w:t>
      </w:r>
    </w:p>
    <w:p w:rsidR="00164327" w:rsidRDefault="00164327" w:rsidP="00164327">
      <w:pPr>
        <w:spacing w:line="360" w:lineRule="auto"/>
        <w:jc w:val="both"/>
        <w:rPr>
          <w:rFonts w:ascii="Arial" w:hAnsi="Arial"/>
          <w:noProof w:val="0"/>
          <w:rtl/>
        </w:rPr>
      </w:pPr>
    </w:p>
    <w:p w:rsidR="0023356C" w:rsidRPr="0023356C" w:rsidRDefault="0023356C" w:rsidP="00164327">
      <w:pPr>
        <w:spacing w:line="360" w:lineRule="auto"/>
        <w:jc w:val="both"/>
        <w:rPr>
          <w:rFonts w:ascii="Arial" w:hAnsi="Arial"/>
          <w:b/>
          <w:bCs/>
          <w:noProof w:val="0"/>
          <w:u w:val="single"/>
          <w:rtl/>
        </w:rPr>
      </w:pPr>
      <w:r w:rsidRPr="0023356C">
        <w:rPr>
          <w:rFonts w:ascii="Arial" w:hAnsi="Arial" w:hint="cs"/>
          <w:b/>
          <w:bCs/>
          <w:noProof w:val="0"/>
          <w:u w:val="single"/>
          <w:rtl/>
        </w:rPr>
        <w:t>טענות המבקשת</w:t>
      </w:r>
    </w:p>
    <w:p w:rsidR="0023356C" w:rsidRDefault="0023356C" w:rsidP="0023356C">
      <w:pPr>
        <w:spacing w:line="360" w:lineRule="auto"/>
        <w:ind w:left="360"/>
        <w:jc w:val="both"/>
        <w:rPr>
          <w:rFonts w:ascii="Arial" w:hAnsi="Arial"/>
          <w:noProof w:val="0"/>
          <w:rtl/>
        </w:rPr>
      </w:pPr>
    </w:p>
    <w:p w:rsidR="0023356C" w:rsidRDefault="001967DB" w:rsidP="001967DB">
      <w:pPr>
        <w:pStyle w:val="ad"/>
        <w:numPr>
          <w:ilvl w:val="0"/>
          <w:numId w:val="1"/>
        </w:numPr>
        <w:spacing w:line="360" w:lineRule="auto"/>
        <w:jc w:val="both"/>
        <w:rPr>
          <w:rFonts w:ascii="Arial" w:hAnsi="Arial"/>
          <w:noProof w:val="0"/>
        </w:rPr>
      </w:pPr>
      <w:r>
        <w:rPr>
          <w:rFonts w:ascii="Arial" w:hAnsi="Arial" w:hint="cs"/>
          <w:noProof w:val="0"/>
          <w:rtl/>
        </w:rPr>
        <w:t>לטענת המבקשת, העתירה ונספחיה מוכיחים כי בידי הרשויות במקסיקו ראיות מספיקות כנגד המשיב.</w:t>
      </w:r>
    </w:p>
    <w:p w:rsidR="00164327" w:rsidRDefault="00164327" w:rsidP="00164327">
      <w:pPr>
        <w:spacing w:line="360" w:lineRule="auto"/>
        <w:ind w:left="360"/>
        <w:jc w:val="both"/>
        <w:rPr>
          <w:rFonts w:ascii="Arial" w:hAnsi="Arial"/>
          <w:noProof w:val="0"/>
          <w:rtl/>
        </w:rPr>
      </w:pPr>
    </w:p>
    <w:p w:rsidR="00164327" w:rsidRDefault="00164327" w:rsidP="00164327">
      <w:pPr>
        <w:pStyle w:val="ad"/>
        <w:numPr>
          <w:ilvl w:val="0"/>
          <w:numId w:val="1"/>
        </w:numPr>
        <w:spacing w:line="360" w:lineRule="auto"/>
        <w:jc w:val="both"/>
        <w:rPr>
          <w:rFonts w:ascii="Arial" w:hAnsi="Arial"/>
          <w:noProof w:val="0"/>
        </w:rPr>
      </w:pPr>
      <w:r>
        <w:rPr>
          <w:rFonts w:ascii="Arial" w:hAnsi="Arial" w:hint="cs"/>
          <w:noProof w:val="0"/>
          <w:rtl/>
        </w:rPr>
        <w:t>עוד נטען, כי המעשים המיוחסים למשיב (עבירות מין חמורות) מקימים חזקת מסוכנות, שכן על פי העתירה, המשיב ניצל את מעמדו במקסיקו על מנת לפגוע בנשים צעירות.</w:t>
      </w:r>
    </w:p>
    <w:p w:rsidR="00164327" w:rsidRPr="00164327" w:rsidRDefault="00164327" w:rsidP="00164327">
      <w:pPr>
        <w:pStyle w:val="ad"/>
        <w:rPr>
          <w:rFonts w:ascii="Arial" w:hAnsi="Arial"/>
          <w:noProof w:val="0"/>
          <w:rtl/>
        </w:rPr>
      </w:pPr>
    </w:p>
    <w:p w:rsidR="00164327" w:rsidRDefault="00164327" w:rsidP="00164327">
      <w:pPr>
        <w:pStyle w:val="ad"/>
        <w:numPr>
          <w:ilvl w:val="0"/>
          <w:numId w:val="1"/>
        </w:numPr>
        <w:spacing w:line="360" w:lineRule="auto"/>
        <w:jc w:val="both"/>
        <w:rPr>
          <w:rFonts w:ascii="Arial" w:hAnsi="Arial"/>
          <w:noProof w:val="0"/>
        </w:rPr>
      </w:pPr>
      <w:r>
        <w:rPr>
          <w:rFonts w:ascii="Arial" w:hAnsi="Arial" w:hint="cs"/>
          <w:noProof w:val="0"/>
          <w:rtl/>
        </w:rPr>
        <w:t xml:space="preserve">ביחס לטענות האליבי, טען ב"כ המבקשת כי אין בשלב זה מקום לבחינת טענות אלה על ידי בית משפט זה בשלב של בקשת המעצר. נעשתה </w:t>
      </w:r>
      <w:r w:rsidR="00186213">
        <w:rPr>
          <w:rFonts w:ascii="Arial" w:hAnsi="Arial" w:hint="cs"/>
          <w:noProof w:val="0"/>
          <w:rtl/>
        </w:rPr>
        <w:t xml:space="preserve">ממש לאחרונה </w:t>
      </w:r>
      <w:r>
        <w:rPr>
          <w:rFonts w:ascii="Arial" w:hAnsi="Arial" w:hint="cs"/>
          <w:noProof w:val="0"/>
          <w:rtl/>
        </w:rPr>
        <w:t>פניה למקסיקו כדי לקבל הבהרות נוספות לגבי המצב הראייתי</w:t>
      </w:r>
      <w:r w:rsidR="00186213">
        <w:rPr>
          <w:rFonts w:ascii="Arial" w:hAnsi="Arial" w:hint="cs"/>
          <w:noProof w:val="0"/>
          <w:rtl/>
        </w:rPr>
        <w:t>,</w:t>
      </w:r>
      <w:r>
        <w:rPr>
          <w:rFonts w:ascii="Arial" w:hAnsi="Arial" w:hint="cs"/>
          <w:noProof w:val="0"/>
          <w:rtl/>
        </w:rPr>
        <w:t xml:space="preserve"> על בסיס טענות המשיב שפורטו לעיל, אולם אין בכך כדי להשפיע על הליך המעצר.</w:t>
      </w:r>
    </w:p>
    <w:p w:rsidR="00164327" w:rsidRPr="00164327" w:rsidRDefault="00164327" w:rsidP="00164327">
      <w:pPr>
        <w:pStyle w:val="ad"/>
        <w:rPr>
          <w:rFonts w:ascii="Arial" w:hAnsi="Arial"/>
          <w:noProof w:val="0"/>
          <w:rtl/>
        </w:rPr>
      </w:pPr>
    </w:p>
    <w:p w:rsidR="00164327" w:rsidRDefault="00164327" w:rsidP="00A82AFB">
      <w:pPr>
        <w:pStyle w:val="ad"/>
        <w:numPr>
          <w:ilvl w:val="0"/>
          <w:numId w:val="1"/>
        </w:numPr>
        <w:spacing w:line="360" w:lineRule="auto"/>
        <w:jc w:val="both"/>
        <w:rPr>
          <w:rFonts w:ascii="Arial" w:hAnsi="Arial"/>
          <w:noProof w:val="0"/>
        </w:rPr>
      </w:pPr>
      <w:r>
        <w:rPr>
          <w:rFonts w:ascii="Arial" w:hAnsi="Arial" w:hint="cs"/>
          <w:noProof w:val="0"/>
          <w:rtl/>
        </w:rPr>
        <w:t xml:space="preserve">ביחס לטענות בדבר העדר עצמאות </w:t>
      </w:r>
      <w:r w:rsidR="00A82AFB">
        <w:rPr>
          <w:rFonts w:ascii="Arial" w:hAnsi="Arial" w:hint="cs"/>
          <w:noProof w:val="0"/>
          <w:rtl/>
        </w:rPr>
        <w:t>מערכת המשפט במקסיקו, נטען כי יהיה מקום לדון בכך בבקשת ההסגרה עצמה, להבדיל משלב המעצר.</w:t>
      </w:r>
    </w:p>
    <w:p w:rsidR="00A82AFB" w:rsidRPr="00A82AFB" w:rsidRDefault="00A82AFB" w:rsidP="00A82AFB">
      <w:pPr>
        <w:pStyle w:val="ad"/>
        <w:rPr>
          <w:rFonts w:ascii="Arial" w:hAnsi="Arial"/>
          <w:noProof w:val="0"/>
          <w:rtl/>
        </w:rPr>
      </w:pPr>
    </w:p>
    <w:p w:rsidR="00A82AFB" w:rsidRDefault="00A82AFB" w:rsidP="0030510D">
      <w:pPr>
        <w:pStyle w:val="ad"/>
        <w:numPr>
          <w:ilvl w:val="0"/>
          <w:numId w:val="1"/>
        </w:numPr>
        <w:spacing w:line="360" w:lineRule="auto"/>
        <w:jc w:val="both"/>
        <w:rPr>
          <w:rFonts w:ascii="Arial" w:hAnsi="Arial"/>
          <w:noProof w:val="0"/>
        </w:rPr>
      </w:pPr>
      <w:r>
        <w:rPr>
          <w:rFonts w:ascii="Arial" w:hAnsi="Arial" w:hint="cs"/>
          <w:noProof w:val="0"/>
          <w:rtl/>
        </w:rPr>
        <w:t xml:space="preserve">בנוגע למסוכנות המשיב, צוין כי </w:t>
      </w:r>
      <w:r w:rsidR="00186213">
        <w:rPr>
          <w:rFonts w:ascii="Arial" w:hAnsi="Arial" w:hint="cs"/>
          <w:noProof w:val="0"/>
          <w:rtl/>
        </w:rPr>
        <w:t>שני</w:t>
      </w:r>
      <w:r w:rsidR="0030510D">
        <w:rPr>
          <w:rFonts w:ascii="Arial" w:hAnsi="Arial" w:hint="cs"/>
          <w:noProof w:val="0"/>
          <w:rtl/>
        </w:rPr>
        <w:t xml:space="preserve"> </w:t>
      </w:r>
      <w:r>
        <w:rPr>
          <w:rFonts w:ascii="Arial" w:hAnsi="Arial" w:hint="cs"/>
          <w:noProof w:val="0"/>
          <w:rtl/>
        </w:rPr>
        <w:t>תיקים נוספים, אף שהתיישנו, מחזקים את דפוס הפעולה המיוחס למשיב.</w:t>
      </w:r>
    </w:p>
    <w:p w:rsidR="00A82AFB" w:rsidRPr="00A82AFB" w:rsidRDefault="00A82AFB" w:rsidP="00A82AFB">
      <w:pPr>
        <w:pStyle w:val="ad"/>
        <w:rPr>
          <w:rFonts w:ascii="Arial" w:hAnsi="Arial"/>
          <w:noProof w:val="0"/>
          <w:rtl/>
        </w:rPr>
      </w:pPr>
    </w:p>
    <w:p w:rsidR="00A82AFB" w:rsidRDefault="00A82AFB" w:rsidP="00A82AFB">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לטענה כי המשיב לא ניצל את האפשרות לעזוב את הארץ לאוסטריה, נטען כי לא הייתה למשיב כל סיבה לעשות כן, בטרם הוגשה לבית המשפט עתירת הסגרה, </w:t>
      </w:r>
      <w:r w:rsidR="0030510D">
        <w:rPr>
          <w:rFonts w:ascii="Arial" w:hAnsi="Arial" w:hint="cs"/>
          <w:noProof w:val="0"/>
          <w:rtl/>
        </w:rPr>
        <w:t xml:space="preserve">ועתה, לאחר הגשתה, </w:t>
      </w:r>
      <w:r>
        <w:rPr>
          <w:rFonts w:ascii="Arial" w:hAnsi="Arial" w:hint="cs"/>
          <w:noProof w:val="0"/>
          <w:rtl/>
        </w:rPr>
        <w:t>החשש מתעצם מאוד.</w:t>
      </w:r>
    </w:p>
    <w:p w:rsidR="00963FC3" w:rsidRDefault="00963FC3" w:rsidP="00963FC3">
      <w:pPr>
        <w:spacing w:line="360" w:lineRule="auto"/>
        <w:jc w:val="both"/>
        <w:rPr>
          <w:rFonts w:ascii="Arial" w:hAnsi="Arial"/>
          <w:noProof w:val="0"/>
          <w:rtl/>
        </w:rPr>
      </w:pPr>
    </w:p>
    <w:p w:rsidR="00963FC3" w:rsidRPr="00963FC3" w:rsidRDefault="00963FC3" w:rsidP="00963FC3">
      <w:pPr>
        <w:spacing w:line="360" w:lineRule="auto"/>
        <w:jc w:val="both"/>
        <w:rPr>
          <w:rFonts w:ascii="Arial" w:hAnsi="Arial"/>
          <w:b/>
          <w:bCs/>
          <w:noProof w:val="0"/>
          <w:u w:val="single"/>
          <w:rtl/>
        </w:rPr>
      </w:pPr>
      <w:r w:rsidRPr="00963FC3">
        <w:rPr>
          <w:rFonts w:ascii="Arial" w:hAnsi="Arial" w:hint="cs"/>
          <w:b/>
          <w:bCs/>
          <w:noProof w:val="0"/>
          <w:u w:val="single"/>
          <w:rtl/>
        </w:rPr>
        <w:t>דיון והכרעה</w:t>
      </w:r>
    </w:p>
    <w:p w:rsidR="00963FC3" w:rsidRDefault="00963FC3" w:rsidP="00963FC3">
      <w:pPr>
        <w:spacing w:line="360" w:lineRule="auto"/>
        <w:jc w:val="both"/>
        <w:rPr>
          <w:rFonts w:ascii="Arial" w:hAnsi="Arial"/>
          <w:noProof w:val="0"/>
          <w:rtl/>
        </w:rPr>
      </w:pPr>
    </w:p>
    <w:p w:rsidR="00963FC3" w:rsidRDefault="00AB70FD" w:rsidP="00AB70FD">
      <w:pPr>
        <w:pStyle w:val="ad"/>
        <w:numPr>
          <w:ilvl w:val="0"/>
          <w:numId w:val="1"/>
        </w:numPr>
        <w:spacing w:line="360" w:lineRule="auto"/>
        <w:jc w:val="both"/>
        <w:rPr>
          <w:rFonts w:ascii="Arial" w:hAnsi="Arial"/>
          <w:noProof w:val="0"/>
        </w:rPr>
      </w:pPr>
      <w:r>
        <w:rPr>
          <w:rFonts w:ascii="Arial" w:hAnsi="Arial" w:hint="cs"/>
          <w:noProof w:val="0"/>
          <w:rtl/>
        </w:rPr>
        <w:t>אפתח בהבהרת הכללים המשפטיים הרלוונטיים לענייננו ולאחר מכן אתייחס לטענות המשיב, כפי שפורטו לעיל.</w:t>
      </w:r>
    </w:p>
    <w:p w:rsidR="00AB70FD" w:rsidRDefault="00AB70FD" w:rsidP="00AB70FD">
      <w:pPr>
        <w:pStyle w:val="ad"/>
        <w:spacing w:line="360" w:lineRule="auto"/>
        <w:jc w:val="both"/>
        <w:rPr>
          <w:rFonts w:ascii="Arial" w:hAnsi="Arial"/>
          <w:noProof w:val="0"/>
          <w:rtl/>
        </w:rPr>
      </w:pPr>
    </w:p>
    <w:p w:rsidR="00AB70FD" w:rsidRDefault="00AB70FD" w:rsidP="0030510D">
      <w:pPr>
        <w:pStyle w:val="ad"/>
        <w:numPr>
          <w:ilvl w:val="0"/>
          <w:numId w:val="1"/>
        </w:numPr>
        <w:spacing w:line="360" w:lineRule="auto"/>
        <w:jc w:val="both"/>
        <w:rPr>
          <w:rFonts w:ascii="Arial" w:hAnsi="Arial"/>
          <w:noProof w:val="0"/>
        </w:rPr>
      </w:pPr>
      <w:r>
        <w:rPr>
          <w:rFonts w:ascii="Arial" w:hAnsi="Arial" w:hint="cs"/>
          <w:noProof w:val="0"/>
          <w:rtl/>
        </w:rPr>
        <w:t xml:space="preserve">תחילה </w:t>
      </w:r>
      <w:r w:rsidR="0030510D">
        <w:rPr>
          <w:rFonts w:ascii="Arial" w:hAnsi="Arial" w:hint="cs"/>
          <w:noProof w:val="0"/>
          <w:rtl/>
        </w:rPr>
        <w:t>יש לה</w:t>
      </w:r>
      <w:r>
        <w:rPr>
          <w:rFonts w:ascii="Arial" w:hAnsi="Arial" w:hint="cs"/>
          <w:noProof w:val="0"/>
          <w:rtl/>
        </w:rPr>
        <w:t>תייחס ל</w:t>
      </w:r>
      <w:r w:rsidR="0030510D">
        <w:rPr>
          <w:rFonts w:ascii="Arial" w:hAnsi="Arial" w:hint="cs"/>
          <w:noProof w:val="0"/>
          <w:rtl/>
        </w:rPr>
        <w:t xml:space="preserve">שאלת </w:t>
      </w:r>
      <w:r>
        <w:rPr>
          <w:rFonts w:ascii="Arial" w:hAnsi="Arial" w:hint="cs"/>
          <w:noProof w:val="0"/>
          <w:rtl/>
        </w:rPr>
        <w:t xml:space="preserve">קיומן של ראיות נגד המשיב בנוגע </w:t>
      </w:r>
      <w:r w:rsidR="0030510D">
        <w:rPr>
          <w:rFonts w:ascii="Arial" w:hAnsi="Arial" w:hint="cs"/>
          <w:noProof w:val="0"/>
          <w:rtl/>
        </w:rPr>
        <w:t>למיוחס לו</w:t>
      </w:r>
      <w:r w:rsidR="0047379E">
        <w:rPr>
          <w:rFonts w:ascii="Arial" w:hAnsi="Arial" w:hint="cs"/>
          <w:noProof w:val="0"/>
          <w:rtl/>
        </w:rPr>
        <w:t xml:space="preserve"> בבקשת ההסגרה. על פי הפסיקה, לצורך הליך ההכרזה על מבוקש כבר הסגרה, על בית המשפט להשתכנע כי הבסיס הראייתי מגלה "אחיזה לאישום" (ע"פ 6717/09 </w:t>
      </w:r>
      <w:r w:rsidR="0047379E">
        <w:rPr>
          <w:rFonts w:ascii="Arial" w:hAnsi="Arial" w:hint="cs"/>
          <w:b/>
          <w:bCs/>
          <w:noProof w:val="0"/>
          <w:rtl/>
        </w:rPr>
        <w:t>אוזיפה נ' מדינת ישראל</w:t>
      </w:r>
      <w:r w:rsidR="0047379E">
        <w:rPr>
          <w:rFonts w:ascii="Arial" w:hAnsi="Arial" w:hint="cs"/>
          <w:noProof w:val="0"/>
          <w:rtl/>
        </w:rPr>
        <w:t xml:space="preserve"> (6.12.2010); בש"פ 8932/12 </w:t>
      </w:r>
      <w:r w:rsidR="0047379E">
        <w:rPr>
          <w:rFonts w:ascii="Arial" w:hAnsi="Arial" w:hint="cs"/>
          <w:b/>
          <w:bCs/>
          <w:noProof w:val="0"/>
          <w:rtl/>
        </w:rPr>
        <w:t>שמלה (שמש שלום) תיירי נ' היועץ המשפטי לממשלה</w:t>
      </w:r>
      <w:r w:rsidR="0047379E">
        <w:rPr>
          <w:rFonts w:ascii="Arial" w:hAnsi="Arial" w:hint="cs"/>
          <w:noProof w:val="0"/>
          <w:rtl/>
        </w:rPr>
        <w:t xml:space="preserve"> (24.12.2012)</w:t>
      </w:r>
      <w:r w:rsidR="0030510D">
        <w:rPr>
          <w:rFonts w:ascii="Arial" w:hAnsi="Arial" w:hint="cs"/>
          <w:noProof w:val="0"/>
          <w:rtl/>
        </w:rPr>
        <w:t xml:space="preserve"> (להלן: "</w:t>
      </w:r>
      <w:r w:rsidR="0030510D" w:rsidRPr="0030510D">
        <w:rPr>
          <w:rFonts w:ascii="Arial" w:hAnsi="Arial" w:hint="cs"/>
          <w:b/>
          <w:bCs/>
          <w:noProof w:val="0"/>
          <w:rtl/>
        </w:rPr>
        <w:t>עניין תיירי</w:t>
      </w:r>
      <w:r w:rsidR="0030510D">
        <w:rPr>
          <w:rFonts w:ascii="Arial" w:hAnsi="Arial" w:hint="cs"/>
          <w:noProof w:val="0"/>
          <w:rtl/>
        </w:rPr>
        <w:t>")</w:t>
      </w:r>
      <w:r w:rsidR="0047379E">
        <w:rPr>
          <w:rFonts w:ascii="Arial" w:hAnsi="Arial" w:hint="cs"/>
          <w:noProof w:val="0"/>
          <w:rtl/>
        </w:rPr>
        <w:t xml:space="preserve">). אין זה תפקידו של בית המשפט במסגרת הליך ההסגרה לברר את סוגיית אשמתו או חפותו של המבוקש. הסמכות מצומצמת יותר ובמסגרת הראייתית, עליו לבחון האם התשתית הראייתית מצדיקה את המשך בירור אשמת המבוקש במדינה הזרה. בית המשפט הישראלי ייתן דעתו למשקלן של הראיות רק מקום בו עולה כי מדובר בראיות חסרות ערך על פניהן (ע"פ 740/09 </w:t>
      </w:r>
      <w:r w:rsidR="0030510D">
        <w:rPr>
          <w:rFonts w:ascii="Arial" w:hAnsi="Arial" w:hint="cs"/>
          <w:b/>
          <w:bCs/>
          <w:noProof w:val="0"/>
          <w:rtl/>
        </w:rPr>
        <w:t>שו</w:t>
      </w:r>
      <w:r w:rsidR="0047379E">
        <w:rPr>
          <w:rFonts w:ascii="Arial" w:hAnsi="Arial" w:hint="cs"/>
          <w:b/>
          <w:bCs/>
          <w:noProof w:val="0"/>
          <w:rtl/>
        </w:rPr>
        <w:t>בייב נ' מדינת ישראל</w:t>
      </w:r>
      <w:r w:rsidR="0047379E">
        <w:rPr>
          <w:rFonts w:ascii="Arial" w:hAnsi="Arial" w:hint="cs"/>
          <w:noProof w:val="0"/>
          <w:rtl/>
        </w:rPr>
        <w:t xml:space="preserve"> (14.4.2010)).</w:t>
      </w:r>
    </w:p>
    <w:p w:rsidR="0047379E" w:rsidRPr="0047379E" w:rsidRDefault="0047379E" w:rsidP="0047379E">
      <w:pPr>
        <w:pStyle w:val="ad"/>
        <w:rPr>
          <w:rFonts w:ascii="Arial" w:hAnsi="Arial"/>
          <w:noProof w:val="0"/>
          <w:rtl/>
        </w:rPr>
      </w:pPr>
    </w:p>
    <w:p w:rsidR="0047379E" w:rsidRDefault="0047379E" w:rsidP="0047379E">
      <w:pPr>
        <w:pStyle w:val="ad"/>
        <w:numPr>
          <w:ilvl w:val="0"/>
          <w:numId w:val="1"/>
        </w:numPr>
        <w:spacing w:line="360" w:lineRule="auto"/>
        <w:jc w:val="both"/>
        <w:rPr>
          <w:rFonts w:ascii="Arial" w:hAnsi="Arial"/>
          <w:noProof w:val="0"/>
        </w:rPr>
      </w:pPr>
      <w:r>
        <w:rPr>
          <w:rFonts w:ascii="Arial" w:hAnsi="Arial" w:hint="cs"/>
          <w:noProof w:val="0"/>
          <w:rtl/>
        </w:rPr>
        <w:t>שאלה נפרדת היא, מהו הרף הראייתי הדרוש לצורך מעצר בהליכי הסגרה. נפסק כי בהליך המעצר לצרכי הסגרה, בית המשפ</w:t>
      </w:r>
      <w:r w:rsidR="00D314DE">
        <w:rPr>
          <w:rFonts w:ascii="Arial" w:hAnsi="Arial" w:hint="cs"/>
          <w:noProof w:val="0"/>
          <w:rtl/>
        </w:rPr>
        <w:t xml:space="preserve">ט לא יידרש לבחינת מהימנותן ומשקלן של הראיות (בש"פ 3381/11 </w:t>
      </w:r>
      <w:r w:rsidR="00D314DE">
        <w:rPr>
          <w:rFonts w:ascii="Arial" w:hAnsi="Arial" w:hint="cs"/>
          <w:b/>
          <w:bCs/>
          <w:noProof w:val="0"/>
          <w:rtl/>
        </w:rPr>
        <w:t>אלכסנדר צבטקוביץ נ' היועץ המשפטי לממשלה</w:t>
      </w:r>
      <w:r w:rsidR="00D314DE">
        <w:rPr>
          <w:rFonts w:ascii="Arial" w:hAnsi="Arial" w:hint="cs"/>
          <w:noProof w:val="0"/>
          <w:rtl/>
        </w:rPr>
        <w:t xml:space="preserve"> (11.5.2011)). בעניין </w:t>
      </w:r>
      <w:r w:rsidR="00D314DE">
        <w:rPr>
          <w:rFonts w:ascii="Arial" w:hAnsi="Arial" w:hint="cs"/>
          <w:b/>
          <w:bCs/>
          <w:noProof w:val="0"/>
          <w:rtl/>
        </w:rPr>
        <w:t xml:space="preserve"> תיירי</w:t>
      </w:r>
      <w:r w:rsidR="00D314DE">
        <w:rPr>
          <w:rFonts w:ascii="Arial" w:hAnsi="Arial" w:hint="cs"/>
          <w:noProof w:val="0"/>
          <w:rtl/>
        </w:rPr>
        <w:t xml:space="preserve"> נקבע כי הרף הראייתי במעצר במסגרת הליכי הסגרה נמוך יותר מהרף שנקבע בהליכי מעצר עד תום ההליכים (שם, פסקה 5).</w:t>
      </w:r>
    </w:p>
    <w:p w:rsidR="00570379" w:rsidRPr="00570379" w:rsidRDefault="00570379" w:rsidP="00570379">
      <w:pPr>
        <w:pStyle w:val="ad"/>
        <w:rPr>
          <w:rFonts w:ascii="Arial" w:hAnsi="Arial"/>
          <w:noProof w:val="0"/>
          <w:rtl/>
        </w:rPr>
      </w:pPr>
    </w:p>
    <w:p w:rsidR="00570379" w:rsidRDefault="00570379" w:rsidP="00570379">
      <w:pPr>
        <w:pStyle w:val="ad"/>
        <w:numPr>
          <w:ilvl w:val="0"/>
          <w:numId w:val="1"/>
        </w:numPr>
        <w:spacing w:line="360" w:lineRule="auto"/>
        <w:jc w:val="both"/>
        <w:rPr>
          <w:rFonts w:ascii="Arial" w:hAnsi="Arial"/>
          <w:noProof w:val="0"/>
        </w:rPr>
      </w:pPr>
      <w:r>
        <w:rPr>
          <w:rFonts w:ascii="Arial" w:hAnsi="Arial" w:hint="cs"/>
          <w:noProof w:val="0"/>
          <w:rtl/>
        </w:rPr>
        <w:t xml:space="preserve">אשר לטענות האליבי שהעלה המשיב, נפסק כי הערכאה המשפטית אשר אמורה לברר טענות מעין אלה היא בית המשפט במדינה הזרה, במסגרת </w:t>
      </w:r>
      <w:r w:rsidR="0030510D">
        <w:rPr>
          <w:rFonts w:ascii="Arial" w:hAnsi="Arial" w:hint="cs"/>
          <w:noProof w:val="0"/>
          <w:rtl/>
        </w:rPr>
        <w:t xml:space="preserve">ההליך העיקרי, בדומה לטענות </w:t>
      </w:r>
      <w:r>
        <w:rPr>
          <w:rFonts w:ascii="Arial" w:hAnsi="Arial" w:hint="cs"/>
          <w:noProof w:val="0"/>
          <w:rtl/>
        </w:rPr>
        <w:t xml:space="preserve"> </w:t>
      </w:r>
      <w:r w:rsidR="0030510D">
        <w:rPr>
          <w:rFonts w:ascii="Arial" w:hAnsi="Arial" w:hint="cs"/>
          <w:noProof w:val="0"/>
          <w:rtl/>
        </w:rPr>
        <w:t>ש</w:t>
      </w:r>
      <w:r>
        <w:rPr>
          <w:rFonts w:ascii="Arial" w:hAnsi="Arial" w:hint="cs"/>
          <w:noProof w:val="0"/>
          <w:rtl/>
        </w:rPr>
        <w:t>ל</w:t>
      </w:r>
      <w:r w:rsidR="0030510D">
        <w:rPr>
          <w:rFonts w:ascii="Arial" w:hAnsi="Arial" w:hint="cs"/>
          <w:noProof w:val="0"/>
          <w:rtl/>
        </w:rPr>
        <w:t xml:space="preserve"> מהימנות ומשקל ביחס</w:t>
      </w:r>
      <w:r>
        <w:rPr>
          <w:rFonts w:ascii="Arial" w:hAnsi="Arial" w:hint="cs"/>
          <w:noProof w:val="0"/>
          <w:rtl/>
        </w:rPr>
        <w:t xml:space="preserve"> </w:t>
      </w:r>
      <w:r w:rsidR="0030510D">
        <w:rPr>
          <w:rFonts w:ascii="Arial" w:hAnsi="Arial" w:hint="cs"/>
          <w:noProof w:val="0"/>
          <w:rtl/>
        </w:rPr>
        <w:t>ל</w:t>
      </w:r>
      <w:r>
        <w:rPr>
          <w:rFonts w:ascii="Arial" w:hAnsi="Arial" w:hint="cs"/>
          <w:noProof w:val="0"/>
          <w:rtl/>
        </w:rPr>
        <w:t xml:space="preserve">יתר הראיות וזאת משום שהאליבי טעון הוכחה בהתאם לדיני הראיות במדינה המבקשת (ע"פ 678/19 </w:t>
      </w:r>
      <w:r>
        <w:rPr>
          <w:rFonts w:ascii="Arial" w:hAnsi="Arial" w:hint="cs"/>
          <w:b/>
          <w:bCs/>
          <w:noProof w:val="0"/>
          <w:rtl/>
        </w:rPr>
        <w:t>איגור גרוזדוב (אוסטורובסקי) נ' היועץ המשפטי לממשלה</w:t>
      </w:r>
      <w:r>
        <w:rPr>
          <w:rFonts w:ascii="Arial" w:hAnsi="Arial" w:hint="cs"/>
          <w:noProof w:val="0"/>
          <w:rtl/>
        </w:rPr>
        <w:t xml:space="preserve"> (27.1.2020) פסקה 23).</w:t>
      </w:r>
    </w:p>
    <w:p w:rsidR="00570379" w:rsidRPr="00570379" w:rsidRDefault="00570379" w:rsidP="00570379">
      <w:pPr>
        <w:pStyle w:val="ad"/>
        <w:rPr>
          <w:rFonts w:ascii="Arial" w:hAnsi="Arial"/>
          <w:noProof w:val="0"/>
          <w:rtl/>
        </w:rPr>
      </w:pPr>
    </w:p>
    <w:p w:rsidR="00570379" w:rsidRDefault="00570379" w:rsidP="00917400">
      <w:pPr>
        <w:pStyle w:val="ad"/>
        <w:numPr>
          <w:ilvl w:val="0"/>
          <w:numId w:val="1"/>
        </w:numPr>
        <w:spacing w:line="360" w:lineRule="auto"/>
        <w:jc w:val="both"/>
        <w:rPr>
          <w:rFonts w:ascii="Arial" w:hAnsi="Arial"/>
          <w:noProof w:val="0"/>
        </w:rPr>
      </w:pPr>
      <w:r>
        <w:rPr>
          <w:rFonts w:ascii="Arial" w:hAnsi="Arial" w:hint="cs"/>
          <w:noProof w:val="0"/>
          <w:rtl/>
        </w:rPr>
        <w:t>במקרה שלפנינו, דומה שחומר הראיות שצורף לבקשת ההסגרה מבסס תש</w:t>
      </w:r>
      <w:r w:rsidR="0030510D">
        <w:rPr>
          <w:rFonts w:ascii="Arial" w:hAnsi="Arial" w:hint="cs"/>
          <w:noProof w:val="0"/>
          <w:rtl/>
        </w:rPr>
        <w:t>תית ראייתית מספקת לשלב המעצר ולמעשה,</w:t>
      </w:r>
      <w:r>
        <w:rPr>
          <w:rFonts w:ascii="Arial" w:hAnsi="Arial" w:hint="cs"/>
          <w:noProof w:val="0"/>
          <w:rtl/>
        </w:rPr>
        <w:t xml:space="preserve"> המשיב לא טען אחרת, פרט לטענות האליבי. את טענות האליבי אין לברר בהליך המעצר ואין בהן כדי לשלול את המסקנה בדבר עמידת המבקשת ברף הראייתי הנדרש. זאת ועוד, בעקבות טענות המשיב בהקשר זה, נערכה בזמן האחרון פניה לרשויות </w:t>
      </w:r>
      <w:r w:rsidR="00917400">
        <w:rPr>
          <w:rFonts w:ascii="Arial" w:hAnsi="Arial" w:hint="cs"/>
          <w:noProof w:val="0"/>
          <w:rtl/>
        </w:rPr>
        <w:t xml:space="preserve">במקסיקו </w:t>
      </w:r>
      <w:r>
        <w:rPr>
          <w:rFonts w:ascii="Arial" w:hAnsi="Arial" w:hint="cs"/>
          <w:noProof w:val="0"/>
          <w:rtl/>
        </w:rPr>
        <w:t>בעניין זה ולאחר שיתקבלו ההבהרות המבוקשות</w:t>
      </w:r>
      <w:r w:rsidR="00917400">
        <w:rPr>
          <w:rFonts w:ascii="Arial" w:hAnsi="Arial" w:hint="cs"/>
          <w:noProof w:val="0"/>
          <w:rtl/>
        </w:rPr>
        <w:t xml:space="preserve"> ממקסיקו, ניתן יהיה לבחון את הד</w:t>
      </w:r>
      <w:r w:rsidR="00DE41F8">
        <w:rPr>
          <w:rFonts w:ascii="Arial" w:hAnsi="Arial" w:hint="cs"/>
          <w:noProof w:val="0"/>
          <w:rtl/>
        </w:rPr>
        <w:t>ברים במסגרת הליך ההסגרה עצמו, ואף</w:t>
      </w:r>
      <w:r w:rsidR="00917400">
        <w:rPr>
          <w:rFonts w:ascii="Arial" w:hAnsi="Arial" w:hint="cs"/>
          <w:noProof w:val="0"/>
          <w:rtl/>
        </w:rPr>
        <w:t xml:space="preserve"> במס</w:t>
      </w:r>
      <w:r w:rsidR="00DE41F8">
        <w:rPr>
          <w:rFonts w:ascii="Arial" w:hAnsi="Arial" w:hint="cs"/>
          <w:noProof w:val="0"/>
          <w:rtl/>
        </w:rPr>
        <w:t>גרת בקשה לעיון חוזר בהליך המעצר, ככול שתהיה לכך הצדקה.</w:t>
      </w:r>
    </w:p>
    <w:p w:rsidR="00917400" w:rsidRPr="00917400" w:rsidRDefault="00917400" w:rsidP="00917400">
      <w:pPr>
        <w:pStyle w:val="ad"/>
        <w:rPr>
          <w:rFonts w:ascii="Arial" w:hAnsi="Arial"/>
          <w:noProof w:val="0"/>
          <w:rtl/>
        </w:rPr>
      </w:pPr>
    </w:p>
    <w:p w:rsidR="00917400" w:rsidRDefault="00917400" w:rsidP="00917400">
      <w:pPr>
        <w:pStyle w:val="ad"/>
        <w:numPr>
          <w:ilvl w:val="0"/>
          <w:numId w:val="1"/>
        </w:numPr>
        <w:spacing w:line="360" w:lineRule="auto"/>
        <w:jc w:val="both"/>
        <w:rPr>
          <w:rFonts w:ascii="Arial" w:hAnsi="Arial"/>
          <w:noProof w:val="0"/>
        </w:rPr>
      </w:pPr>
      <w:r>
        <w:rPr>
          <w:rFonts w:ascii="Arial" w:hAnsi="Arial" w:hint="cs"/>
          <w:noProof w:val="0"/>
          <w:rtl/>
        </w:rPr>
        <w:t xml:space="preserve">טענות המשיב בדבר העדר עצמאות מערכת המשפט במקסיקו ובדבר רצון הממשל במקסיקו לנקום במשיב בגין הימנעותו מהצבעה נגד ישראל באונסקו, אין מקומם בהליך המעצר. הטענה הראשונה תבחן במסגרת הליך ההסגרה </w:t>
      </w:r>
      <w:r w:rsidR="00DE41F8">
        <w:rPr>
          <w:rFonts w:ascii="Arial" w:hAnsi="Arial" w:hint="cs"/>
          <w:noProof w:val="0"/>
          <w:rtl/>
        </w:rPr>
        <w:t xml:space="preserve">(ובהקשר זה יצוין כי הדו"ח  מחודש ספטמבר 2023 שצורף כנספח 1 לתמצית עיקרי הטיעון מטעם המערער לא תורגם מספרדית ואין אפשרות להתייחס לאמור בו מטעם זה) </w:t>
      </w:r>
      <w:r>
        <w:rPr>
          <w:rFonts w:ascii="Arial" w:hAnsi="Arial" w:hint="cs"/>
          <w:noProof w:val="0"/>
          <w:rtl/>
        </w:rPr>
        <w:t xml:space="preserve">והטענה השנייה, בדבר אג'נדה פוליטית, </w:t>
      </w:r>
      <w:r w:rsidR="00DE41F8">
        <w:rPr>
          <w:rFonts w:ascii="Arial" w:hAnsi="Arial" w:hint="cs"/>
          <w:noProof w:val="0"/>
          <w:rtl/>
        </w:rPr>
        <w:t xml:space="preserve">שקולה </w:t>
      </w:r>
      <w:r>
        <w:rPr>
          <w:rFonts w:ascii="Arial" w:hAnsi="Arial" w:hint="cs"/>
          <w:noProof w:val="0"/>
          <w:rtl/>
        </w:rPr>
        <w:t>לטענת "הגנה מן הצדק", אשר אין מקומה בשלב המעצר.</w:t>
      </w:r>
    </w:p>
    <w:p w:rsidR="00917400" w:rsidRPr="00917400" w:rsidRDefault="00917400" w:rsidP="00917400">
      <w:pPr>
        <w:pStyle w:val="ad"/>
        <w:rPr>
          <w:rFonts w:ascii="Arial" w:hAnsi="Arial"/>
          <w:noProof w:val="0"/>
          <w:rtl/>
        </w:rPr>
      </w:pPr>
    </w:p>
    <w:p w:rsidR="00917400" w:rsidRDefault="00917400" w:rsidP="00D1597F">
      <w:pPr>
        <w:pStyle w:val="ad"/>
        <w:numPr>
          <w:ilvl w:val="0"/>
          <w:numId w:val="1"/>
        </w:numPr>
        <w:spacing w:line="360" w:lineRule="auto"/>
        <w:jc w:val="both"/>
        <w:rPr>
          <w:rFonts w:ascii="Arial" w:hAnsi="Arial"/>
          <w:noProof w:val="0"/>
        </w:rPr>
      </w:pPr>
      <w:r>
        <w:rPr>
          <w:rFonts w:ascii="Arial" w:hAnsi="Arial" w:hint="cs"/>
          <w:noProof w:val="0"/>
          <w:rtl/>
        </w:rPr>
        <w:t>בכל הנוגע לעילות מעצר, מצאתי כי מתקיימות בענייננו שתי עילות.</w:t>
      </w:r>
      <w:r w:rsidR="00D1597F">
        <w:rPr>
          <w:rFonts w:ascii="Arial" w:hAnsi="Arial" w:hint="cs"/>
          <w:noProof w:val="0"/>
          <w:rtl/>
        </w:rPr>
        <w:t xml:space="preserve"> ראשית, מדובר בעילת המסוכנות, לאור המעשים המיוחסים למשיב, המאופיינים בניצול מעמדו לפגיעה (לכאורית) בנשים צעירות, אשר ביקשו את עזרתו המקצועית של המשיב ואשר, לכאורה, נאנסו על ידו. שנית, במסגרת הליכי הסגרה, ניתן משקל מיוחד לחשש להימלטות מן הדין. על פי הפסיקה, בהליכי הסגרה, מעצם טיבם וטבעם, מתקיימת סוג של הנחה כי המבוקש להסגרה חפץ </w:t>
      </w:r>
      <w:r w:rsidR="00DE41F8">
        <w:rPr>
          <w:rFonts w:ascii="Arial" w:hAnsi="Arial" w:hint="cs"/>
          <w:noProof w:val="0"/>
          <w:rtl/>
        </w:rPr>
        <w:t xml:space="preserve">להימלט ממורא הדין (עניין תיירי, </w:t>
      </w:r>
      <w:r w:rsidR="00D1597F">
        <w:rPr>
          <w:rFonts w:ascii="Arial" w:hAnsi="Arial" w:hint="cs"/>
          <w:noProof w:val="0"/>
          <w:rtl/>
        </w:rPr>
        <w:t xml:space="preserve">פסקה 9; בש"פ 8417/17 </w:t>
      </w:r>
      <w:r w:rsidR="00D1597F">
        <w:rPr>
          <w:rFonts w:ascii="Arial" w:hAnsi="Arial" w:hint="cs"/>
          <w:b/>
          <w:bCs/>
          <w:noProof w:val="0"/>
          <w:rtl/>
        </w:rPr>
        <w:t>היועץ המשפטי לממשלה נ' כריסטוף קוהרן</w:t>
      </w:r>
      <w:r w:rsidR="00DE41F8">
        <w:rPr>
          <w:rFonts w:ascii="Arial" w:hAnsi="Arial" w:hint="cs"/>
          <w:noProof w:val="0"/>
          <w:rtl/>
        </w:rPr>
        <w:t xml:space="preserve"> (21.11.2017) פסקה 20(להלן: "</w:t>
      </w:r>
      <w:r w:rsidR="00DE41F8" w:rsidRPr="00DE41F8">
        <w:rPr>
          <w:rFonts w:ascii="Arial" w:hAnsi="Arial" w:hint="cs"/>
          <w:b/>
          <w:bCs/>
          <w:noProof w:val="0"/>
          <w:rtl/>
        </w:rPr>
        <w:t>עניין קוהרן</w:t>
      </w:r>
      <w:r w:rsidR="00DE41F8">
        <w:rPr>
          <w:rFonts w:ascii="Arial" w:hAnsi="Arial" w:hint="cs"/>
          <w:noProof w:val="0"/>
          <w:rtl/>
        </w:rPr>
        <w:t>").</w:t>
      </w:r>
    </w:p>
    <w:p w:rsidR="00D1597F" w:rsidRPr="00D1597F" w:rsidRDefault="00D1597F" w:rsidP="00D1597F">
      <w:pPr>
        <w:pStyle w:val="ad"/>
        <w:rPr>
          <w:rFonts w:ascii="Arial" w:hAnsi="Arial"/>
          <w:noProof w:val="0"/>
          <w:rtl/>
        </w:rPr>
      </w:pPr>
    </w:p>
    <w:p w:rsidR="00D1597F" w:rsidRDefault="00D1597F" w:rsidP="00D1597F">
      <w:pPr>
        <w:pStyle w:val="ad"/>
        <w:numPr>
          <w:ilvl w:val="0"/>
          <w:numId w:val="1"/>
        </w:numPr>
        <w:spacing w:line="360" w:lineRule="auto"/>
        <w:jc w:val="both"/>
        <w:rPr>
          <w:rFonts w:ascii="Arial" w:hAnsi="Arial"/>
          <w:noProof w:val="0"/>
        </w:rPr>
      </w:pPr>
      <w:r>
        <w:rPr>
          <w:rFonts w:ascii="Arial" w:hAnsi="Arial" w:hint="cs"/>
          <w:noProof w:val="0"/>
          <w:rtl/>
        </w:rPr>
        <w:t>לדברים האמורים נילווה היבט ייחודי נוסף שאינו מאפיין הליכי מעצר "רגילים", הקשור באחריות המיוחדת החלה על ישראל כלפי המדינה מבקשת ההסגרה, לקיים את התחייבותה כלפיה. אמנם בין ישראל ומקסיקו לא קיים הסכם להסגרת מבוקשים, אולם בתאריך 20.8.2023 חתמו רשויות מקסיקו על הסכם הסגרה מיוחד לצורך הסגרתו של המשיב ובתאריך 28.8.2023 חתם שר המשפטים על אותו הסכם מיוחד בהתאם להוראות סעיף 2א(ג)2 לחוק ההסגרה.</w:t>
      </w:r>
    </w:p>
    <w:p w:rsidR="00D1597F" w:rsidRPr="00D1597F" w:rsidRDefault="00D1597F" w:rsidP="00D1597F">
      <w:pPr>
        <w:pStyle w:val="ad"/>
        <w:rPr>
          <w:rFonts w:ascii="Arial" w:hAnsi="Arial"/>
          <w:noProof w:val="0"/>
          <w:rtl/>
        </w:rPr>
      </w:pPr>
    </w:p>
    <w:p w:rsidR="00D1597F" w:rsidRDefault="00D1597F" w:rsidP="00D1597F">
      <w:pPr>
        <w:pStyle w:val="ad"/>
        <w:numPr>
          <w:ilvl w:val="0"/>
          <w:numId w:val="1"/>
        </w:numPr>
        <w:spacing w:line="360" w:lineRule="auto"/>
        <w:jc w:val="both"/>
        <w:rPr>
          <w:rFonts w:ascii="Arial" w:hAnsi="Arial"/>
          <w:noProof w:val="0"/>
        </w:rPr>
      </w:pPr>
      <w:r>
        <w:rPr>
          <w:rFonts w:ascii="Arial" w:hAnsi="Arial" w:hint="cs"/>
          <w:noProof w:val="0"/>
          <w:rtl/>
        </w:rPr>
        <w:t>בכל הנוגע לחשש מהימלטות, אי אפשר להתעלם מן העובדה כי המשיב הוא אזרח אוסטרי וכי אין הסכם הסגרה בין מקסיקו לאוסטריה. ככול שהמשיב יצליח להגיע לאוסטריה, יש חשש ממשי כי הוא יצליח להימלט ממורא הדין ועל כן יש מקום לחשש כי המשיב ינסה להימלט טרם סיום הליכי ההסגרה בעניינו, אף אם החליט להישאר בארץ בטרם הוגשה העתירה להסגרתו. לאור האמור, המסקנה היא כי מתקיימות בענייננו עילות מעצר.</w:t>
      </w:r>
    </w:p>
    <w:p w:rsidR="00D1597F" w:rsidRPr="00D1597F" w:rsidRDefault="00D1597F" w:rsidP="00D1597F">
      <w:pPr>
        <w:pStyle w:val="ad"/>
        <w:rPr>
          <w:rFonts w:ascii="Arial" w:hAnsi="Arial"/>
          <w:noProof w:val="0"/>
          <w:rtl/>
        </w:rPr>
      </w:pPr>
    </w:p>
    <w:p w:rsidR="00D1597F" w:rsidRDefault="00D1597F" w:rsidP="00D1597F">
      <w:pPr>
        <w:pStyle w:val="ad"/>
        <w:numPr>
          <w:ilvl w:val="0"/>
          <w:numId w:val="1"/>
        </w:numPr>
        <w:spacing w:line="360" w:lineRule="auto"/>
        <w:jc w:val="both"/>
        <w:rPr>
          <w:rFonts w:ascii="Arial" w:hAnsi="Arial"/>
          <w:noProof w:val="0"/>
        </w:rPr>
      </w:pPr>
      <w:r>
        <w:rPr>
          <w:rFonts w:ascii="Arial" w:hAnsi="Arial" w:hint="cs"/>
          <w:noProof w:val="0"/>
          <w:rtl/>
        </w:rPr>
        <w:t>בכל האמור לעיל אין די. בדומה להליכי מעצר עם תום ההליכים המתקיימים בתיקים "רגילים", גם בסוגיית המעצר בטרם הסגרה, הכלל הוא כי במקום שבו ניתן להימנע ממעצר, יש לעשות כן, ככל שניתן להבטיח את</w:t>
      </w:r>
      <w:r w:rsidR="007F7317">
        <w:rPr>
          <w:rFonts w:ascii="Arial" w:hAnsi="Arial" w:hint="cs"/>
          <w:noProof w:val="0"/>
          <w:rtl/>
        </w:rPr>
        <w:t xml:space="preserve"> התכליות המבוקשות באמצעים פוגעניים פחות (עניין קוהרן, פסקה 21).</w:t>
      </w:r>
    </w:p>
    <w:p w:rsidR="007F7317" w:rsidRPr="007F7317" w:rsidRDefault="007F7317" w:rsidP="007F7317">
      <w:pPr>
        <w:pStyle w:val="ad"/>
        <w:rPr>
          <w:rFonts w:ascii="Arial" w:hAnsi="Arial"/>
          <w:noProof w:val="0"/>
          <w:rtl/>
        </w:rPr>
      </w:pPr>
    </w:p>
    <w:p w:rsidR="007F7317" w:rsidRDefault="007F7317" w:rsidP="00D1597F">
      <w:pPr>
        <w:pStyle w:val="ad"/>
        <w:numPr>
          <w:ilvl w:val="0"/>
          <w:numId w:val="1"/>
        </w:numPr>
        <w:spacing w:line="360" w:lineRule="auto"/>
        <w:jc w:val="both"/>
        <w:rPr>
          <w:rFonts w:ascii="Arial" w:hAnsi="Arial"/>
          <w:noProof w:val="0"/>
        </w:rPr>
      </w:pPr>
      <w:r>
        <w:rPr>
          <w:rFonts w:ascii="Arial" w:hAnsi="Arial" w:hint="cs"/>
          <w:noProof w:val="0"/>
          <w:rtl/>
        </w:rPr>
        <w:t xml:space="preserve">בהקשר זה, הפנתה ב"כ המשיב להחלטה בבש"פ 8643/12 </w:t>
      </w:r>
      <w:r>
        <w:rPr>
          <w:rFonts w:ascii="Arial" w:hAnsi="Arial" w:hint="cs"/>
          <w:b/>
          <w:bCs/>
          <w:noProof w:val="0"/>
          <w:rtl/>
        </w:rPr>
        <w:t>גבריאל ברמי נ' היועץ המשפטי לממשלה</w:t>
      </w:r>
      <w:r>
        <w:rPr>
          <w:rFonts w:ascii="Arial" w:hAnsi="Arial" w:hint="cs"/>
          <w:noProof w:val="0"/>
          <w:rtl/>
        </w:rPr>
        <w:t xml:space="preserve"> (1.1.2013). באותו עניין הוגשה עתירת הסגרה </w:t>
      </w:r>
      <w:r w:rsidR="00E93754">
        <w:rPr>
          <w:rFonts w:ascii="Arial" w:hAnsi="Arial" w:hint="cs"/>
          <w:noProof w:val="0"/>
          <w:rtl/>
        </w:rPr>
        <w:t xml:space="preserve">נגד העורר </w:t>
      </w:r>
      <w:r>
        <w:rPr>
          <w:rFonts w:ascii="Arial" w:hAnsi="Arial" w:hint="cs"/>
          <w:noProof w:val="0"/>
          <w:rtl/>
        </w:rPr>
        <w:t xml:space="preserve">בגין עבירות מין בקטינים. העורר באותו עניין הגיע לישראל כארבעה חודשים לפני </w:t>
      </w:r>
      <w:r w:rsidR="00E148C3">
        <w:rPr>
          <w:rFonts w:ascii="Arial" w:hAnsi="Arial" w:hint="cs"/>
          <w:noProof w:val="0"/>
          <w:rtl/>
        </w:rPr>
        <w:t xml:space="preserve">הגשת התלונה הפלילית נגדו בבלגיה. הוא נכנס לישראל בשמו האמיתי ונרשם במשרד הפנים ועדכן את פרטי כתובתו במשרד הפנים. נקבע באותו ענין שאין לזקוף לחובתו </w:t>
      </w:r>
      <w:r w:rsidR="00EA0509">
        <w:rPr>
          <w:rFonts w:ascii="Arial" w:hAnsi="Arial" w:hint="cs"/>
          <w:noProof w:val="0"/>
          <w:rtl/>
        </w:rPr>
        <w:t>של העורר את ניסיונו להתגונן מפני האישומים נגדו בבלגיה באופן הנוח לו ביותר, לרבות במסגרת הליכי ההסגרה, מבלי שהתייצב למשפטו בבלגיה. נקבע כי המקרה שנדון שם איננו מסוג המקרים בהם מוצד</w:t>
      </w:r>
      <w:r w:rsidR="00E93754">
        <w:rPr>
          <w:rFonts w:ascii="Arial" w:hAnsi="Arial" w:hint="cs"/>
          <w:noProof w:val="0"/>
          <w:rtl/>
        </w:rPr>
        <w:t xml:space="preserve">ק לשלול את ההיתכנות של האפשרות </w:t>
      </w:r>
      <w:r w:rsidR="00EA0509">
        <w:rPr>
          <w:rFonts w:ascii="Arial" w:hAnsi="Arial" w:hint="cs"/>
          <w:noProof w:val="0"/>
          <w:rtl/>
        </w:rPr>
        <w:t>ל</w:t>
      </w:r>
      <w:r w:rsidR="00E93754">
        <w:rPr>
          <w:rFonts w:ascii="Arial" w:hAnsi="Arial" w:hint="cs"/>
          <w:noProof w:val="0"/>
          <w:rtl/>
        </w:rPr>
        <w:t>ש</w:t>
      </w:r>
      <w:r w:rsidR="00EA0509">
        <w:rPr>
          <w:rFonts w:ascii="Arial" w:hAnsi="Arial" w:hint="cs"/>
          <w:noProof w:val="0"/>
          <w:rtl/>
        </w:rPr>
        <w:t>חרר את העורר לחלופת מעצר, טרם בדיקתה לפרטיה (ראו את הפירוט בפסקה 19 להחלטה).</w:t>
      </w:r>
      <w:r w:rsidR="00E93754">
        <w:rPr>
          <w:rFonts w:ascii="Arial" w:hAnsi="Arial" w:hint="cs"/>
          <w:noProof w:val="0"/>
          <w:rtl/>
        </w:rPr>
        <w:t xml:space="preserve"> לטענת ב"כ המשיב, גם המשיב בענייננו לא הסתתר בארץ, הזדהה בשמו האמיתי, ניהל הליכים מול משרד הפנים והציג את גרסתו תוך מסירת מסמכים התומכים בה.</w:t>
      </w:r>
    </w:p>
    <w:p w:rsidR="00EA0509" w:rsidRPr="00EA0509" w:rsidRDefault="00EA0509" w:rsidP="00EA0509">
      <w:pPr>
        <w:pStyle w:val="ad"/>
        <w:rPr>
          <w:rFonts w:ascii="Arial" w:hAnsi="Arial"/>
          <w:noProof w:val="0"/>
          <w:rtl/>
        </w:rPr>
      </w:pPr>
    </w:p>
    <w:p w:rsidR="00EA0509" w:rsidRDefault="00EA0509" w:rsidP="00D1597F">
      <w:pPr>
        <w:pStyle w:val="ad"/>
        <w:numPr>
          <w:ilvl w:val="0"/>
          <w:numId w:val="1"/>
        </w:numPr>
        <w:spacing w:line="360" w:lineRule="auto"/>
        <w:jc w:val="both"/>
        <w:rPr>
          <w:rFonts w:ascii="Arial" w:hAnsi="Arial"/>
          <w:noProof w:val="0"/>
        </w:rPr>
      </w:pPr>
      <w:r>
        <w:rPr>
          <w:rFonts w:ascii="Arial" w:hAnsi="Arial" w:hint="cs"/>
          <w:noProof w:val="0"/>
          <w:rtl/>
        </w:rPr>
        <w:t>לאור כל האמור, ותוך שקלול של כלל נסיבות המקרה ואת האיזון הנדרש בין הזכויות והאינטרסים הנוגדים, סבורני כי יש מקום להכנת תסקיר מבחן, לשם בחינת האפשרות המוצעת של מעצר בפיקוח אלקט</w:t>
      </w:r>
      <w:r w:rsidR="00E93754">
        <w:rPr>
          <w:rFonts w:ascii="Arial" w:hAnsi="Arial" w:hint="cs"/>
          <w:noProof w:val="0"/>
          <w:rtl/>
        </w:rPr>
        <w:t>רוני, תוך בחינת המפקחים המוצעים ותנאים נוספים כמו</w:t>
      </w:r>
      <w:r>
        <w:rPr>
          <w:rFonts w:ascii="Arial" w:hAnsi="Arial" w:hint="cs"/>
          <w:noProof w:val="0"/>
          <w:rtl/>
        </w:rPr>
        <w:t xml:space="preserve"> הפקדת מזומן משמעותית, ערבות עצמית וע</w:t>
      </w:r>
      <w:r w:rsidR="003A2960">
        <w:rPr>
          <w:rFonts w:ascii="Arial" w:hAnsi="Arial" w:hint="cs"/>
          <w:noProof w:val="0"/>
          <w:rtl/>
        </w:rPr>
        <w:t>רבות צד ג' ותנאים נוספים שישקלו, כגון התנאים שפורטו בפרוטוקול, בעמוד 8, שורות 24-26.</w:t>
      </w:r>
    </w:p>
    <w:p w:rsidR="00EA0509" w:rsidRPr="00EA0509" w:rsidRDefault="00EA0509" w:rsidP="00EA0509">
      <w:pPr>
        <w:pStyle w:val="ad"/>
        <w:rPr>
          <w:rFonts w:ascii="Arial" w:hAnsi="Arial"/>
          <w:noProof w:val="0"/>
          <w:rtl/>
        </w:rPr>
      </w:pPr>
    </w:p>
    <w:p w:rsidR="00694556" w:rsidRDefault="00EA0509" w:rsidP="007E47E7">
      <w:pPr>
        <w:pStyle w:val="ad"/>
        <w:numPr>
          <w:ilvl w:val="0"/>
          <w:numId w:val="1"/>
        </w:numPr>
        <w:spacing w:line="360" w:lineRule="auto"/>
        <w:jc w:val="both"/>
        <w:rPr>
          <w:rFonts w:ascii="Arial" w:hAnsi="Arial"/>
          <w:noProof w:val="0"/>
        </w:rPr>
      </w:pPr>
      <w:r w:rsidRPr="00D951FC">
        <w:rPr>
          <w:rFonts w:ascii="Arial" w:hAnsi="Arial" w:hint="cs"/>
          <w:noProof w:val="0"/>
          <w:rtl/>
        </w:rPr>
        <w:t>אשר על כן, על שירות המבחן למבוגרים להכין תסקיר מעצר בעניינו של המשיב, אשר יוגש לבית המשפט עד ליום 25.12.2023. נקבע לדיון לאחר תס</w:t>
      </w:r>
      <w:r w:rsidR="002D1F50">
        <w:rPr>
          <w:rFonts w:ascii="Arial" w:hAnsi="Arial" w:hint="cs"/>
          <w:noProof w:val="0"/>
          <w:rtl/>
        </w:rPr>
        <w:t>קיר ליום 25.12.2023 בשעה 13:00</w:t>
      </w:r>
      <w:r w:rsidRPr="00D951FC">
        <w:rPr>
          <w:rFonts w:ascii="Arial" w:hAnsi="Arial" w:hint="cs"/>
          <w:noProof w:val="0"/>
          <w:rtl/>
        </w:rPr>
        <w:t>. הדיון יתקיים בהיוועדות חזותית. לדיון יוזמן מתורגמן לאנגלית.</w:t>
      </w:r>
    </w:p>
    <w:p w:rsidR="002D1F50" w:rsidRPr="002D1F50" w:rsidRDefault="002D1F50" w:rsidP="002D1F50">
      <w:pPr>
        <w:pStyle w:val="ad"/>
        <w:rPr>
          <w:rFonts w:ascii="Arial" w:hAnsi="Arial"/>
          <w:noProof w:val="0"/>
          <w:rtl/>
        </w:rPr>
      </w:pPr>
    </w:p>
    <w:p w:rsidR="002D1F50" w:rsidRPr="002D1F50" w:rsidRDefault="002D1F50" w:rsidP="002D1F50">
      <w:pPr>
        <w:pStyle w:val="ad"/>
        <w:spacing w:line="360" w:lineRule="auto"/>
        <w:jc w:val="both"/>
        <w:rPr>
          <w:rFonts w:ascii="Arial" w:hAnsi="Arial"/>
          <w:b/>
          <w:bCs/>
          <w:noProof w:val="0"/>
          <w:rtl/>
        </w:rPr>
      </w:pPr>
      <w:r w:rsidRPr="002D1F50">
        <w:rPr>
          <w:rFonts w:ascii="Arial" w:hAnsi="Arial" w:hint="cs"/>
          <w:b/>
          <w:bCs/>
          <w:noProof w:val="0"/>
          <w:rtl/>
        </w:rPr>
        <w:t>המזכירות תמציא את ההחלטה לב"כ הצדדים.</w:t>
      </w:r>
    </w:p>
    <w:p w:rsidR="00570379" w:rsidRPr="00B95D6E" w:rsidRDefault="00570379">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אוקטובר 2023</w:t>
          </w:r>
        </w:sdtContent>
      </w:sdt>
      <w:r w:rsidR="00005C8B">
        <w:rPr>
          <w:rFonts w:ascii="Arial" w:hAnsi="Arial"/>
          <w:noProof w:val="0"/>
          <w:rtl/>
        </w:rPr>
        <w:t>, בהעדר הצדדים.</w:t>
      </w:r>
    </w:p>
    <w:p w:rsidR="00090192" w:rsidRDefault="00090192">
      <w:pPr>
        <w:spacing w:line="360" w:lineRule="auto"/>
        <w:jc w:val="both"/>
        <w:rPr>
          <w:rFonts w:ascii="Arial" w:hAnsi="Arial"/>
          <w:noProof w:val="0"/>
          <w:rtl/>
        </w:rPr>
      </w:pPr>
    </w:p>
    <w:tbl>
      <w:tblPr>
        <w:tblStyle w:val="a9"/>
        <w:bidiVisual/>
        <w:tblW w:w="3708" w:type="dxa"/>
        <w:tblInd w:w="493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090192" w:rsidTr="00BC5A60">
        <w:trPr>
          <w:trHeight w:val="364"/>
        </w:trPr>
        <w:tc>
          <w:tcPr>
            <w:tcW w:w="3708" w:type="dxa"/>
            <w:tcBorders>
              <w:top w:val="nil"/>
              <w:left w:val="nil"/>
              <w:bottom w:val="single" w:sz="4" w:space="0" w:color="auto"/>
              <w:right w:val="nil"/>
            </w:tcBorders>
          </w:tcPr>
          <w:p w:rsidR="00090192" w:rsidRDefault="00B73F0F" w:rsidP="00BC5A60">
            <w:pPr>
              <w:jc w:val="center"/>
              <w:rPr>
                <w:rFonts w:cs="Times New Roman"/>
                <w:noProof w:val="0"/>
              </w:rPr>
            </w:pPr>
            <w:sdt>
              <w:sdtPr>
                <w:rPr>
                  <w:rFonts w:cs="Times New Roman" w:hint="cs"/>
                  <w:rtl/>
                </w:rPr>
                <w:alias w:val="MergeField"/>
                <w:tag w:val="2144"/>
                <w:id w:val="-1171556164"/>
              </w:sdtPr>
              <w:sdtEndPr/>
              <w:sdtContent>
                <w:r w:rsidR="00090192">
                  <w:drawing>
                    <wp:inline distT="0" distB="0" distL="0" distR="0" wp14:anchorId="67EA5863" wp14:editId="244DCBEC">
                      <wp:extent cx="1517650" cy="571500"/>
                      <wp:effectExtent l="0" t="0" r="635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7650" cy="571500"/>
                              </a:xfrm>
                              <a:prstGeom prst="rect">
                                <a:avLst/>
                              </a:prstGeom>
                              <a:noFill/>
                              <a:ln>
                                <a:noFill/>
                              </a:ln>
                            </pic:spPr>
                          </pic:pic>
                        </a:graphicData>
                      </a:graphic>
                    </wp:inline>
                  </w:drawing>
                </w:r>
              </w:sdtContent>
            </w:sdt>
          </w:p>
          <w:p w:rsidR="00090192" w:rsidRDefault="00090192" w:rsidP="00BC5A60">
            <w:pPr>
              <w:jc w:val="center"/>
              <w:rPr>
                <w:sz w:val="26"/>
                <w:szCs w:val="26"/>
              </w:rPr>
            </w:pPr>
          </w:p>
        </w:tc>
      </w:tr>
      <w:tr w:rsidR="00090192" w:rsidTr="00BC5A60">
        <w:trPr>
          <w:trHeight w:val="415"/>
        </w:trPr>
        <w:tc>
          <w:tcPr>
            <w:tcW w:w="3708" w:type="dxa"/>
            <w:tcBorders>
              <w:top w:val="single" w:sz="4" w:space="0" w:color="auto"/>
              <w:left w:val="nil"/>
              <w:bottom w:val="nil"/>
              <w:right w:val="nil"/>
            </w:tcBorders>
            <w:hideMark/>
          </w:tcPr>
          <w:p w:rsidR="00090192" w:rsidRDefault="00B73F0F" w:rsidP="00BC5A60">
            <w:pPr>
              <w:jc w:val="center"/>
              <w:rPr>
                <w:b/>
                <w:bCs/>
                <w:sz w:val="26"/>
                <w:szCs w:val="26"/>
              </w:rPr>
            </w:pPr>
            <w:sdt>
              <w:sdtPr>
                <w:rPr>
                  <w:rtl/>
                </w:rPr>
                <w:alias w:val="2141"/>
                <w:tag w:val="2141"/>
                <w:id w:val="424146769"/>
                <w:text w:multiLine="1"/>
              </w:sdtPr>
              <w:sdtEndPr/>
              <w:sdtContent>
                <w:r w:rsidR="00090192">
                  <w:rPr>
                    <w:b/>
                    <w:bCs/>
                    <w:sz w:val="26"/>
                    <w:szCs w:val="26"/>
                    <w:rtl/>
                  </w:rPr>
                  <w:t>אביגדור</w:t>
                </w:r>
              </w:sdtContent>
            </w:sdt>
            <w:r w:rsidR="00090192">
              <w:rPr>
                <w:b/>
                <w:bCs/>
                <w:sz w:val="26"/>
                <w:szCs w:val="26"/>
                <w:rtl/>
              </w:rPr>
              <w:t xml:space="preserve"> </w:t>
            </w:r>
            <w:sdt>
              <w:sdtPr>
                <w:rPr>
                  <w:rFonts w:cs="Times New Roman" w:hint="cs"/>
                  <w:rtl/>
                </w:rPr>
                <w:alias w:val="2142"/>
                <w:tag w:val="2142"/>
                <w:id w:val="1434550607"/>
                <w:text w:multiLine="1"/>
              </w:sdtPr>
              <w:sdtEndPr/>
              <w:sdtContent>
                <w:r w:rsidR="00090192">
                  <w:rPr>
                    <w:b/>
                    <w:bCs/>
                    <w:sz w:val="26"/>
                    <w:szCs w:val="26"/>
                    <w:rtl/>
                  </w:rPr>
                  <w:t>דורות</w:t>
                </w:r>
              </w:sdtContent>
            </w:sdt>
            <w:r w:rsidR="00090192">
              <w:rPr>
                <w:b/>
                <w:bCs/>
                <w:sz w:val="26"/>
                <w:szCs w:val="26"/>
                <w:rtl/>
              </w:rPr>
              <w:t xml:space="preserve">, </w:t>
            </w:r>
            <w:sdt>
              <w:sdtPr>
                <w:rPr>
                  <w:rFonts w:cs="Times New Roman" w:hint="cs"/>
                  <w:rtl/>
                </w:rPr>
                <w:alias w:val="2143"/>
                <w:tag w:val="2143"/>
                <w:id w:val="148415121"/>
                <w:text w:multiLine="1"/>
              </w:sdtPr>
              <w:sdtEndPr/>
              <w:sdtContent>
                <w:r w:rsidR="00090192">
                  <w:rPr>
                    <w:b/>
                    <w:bCs/>
                    <w:sz w:val="26"/>
                    <w:szCs w:val="26"/>
                    <w:rtl/>
                  </w:rPr>
                  <w:t>שופט</w:t>
                </w:r>
              </w:sdtContent>
            </w:sdt>
          </w:p>
        </w:tc>
      </w:tr>
    </w:tbl>
    <w:p w:rsidR="00694556" w:rsidRPr="00090192" w:rsidRDefault="00694556" w:rsidP="00090192">
      <w:pPr>
        <w:tabs>
          <w:tab w:val="left" w:pos="2553"/>
        </w:tabs>
        <w:rPr>
          <w:rtl/>
        </w:rPr>
      </w:pPr>
    </w:p>
    <w:sectPr w:rsidR="00694556" w:rsidRPr="00090192"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F0F" w:rsidRDefault="00B73F0F">
      <w:r>
        <w:separator/>
      </w:r>
    </w:p>
  </w:endnote>
  <w:endnote w:type="continuationSeparator" w:id="0">
    <w:p w:rsidR="00B73F0F" w:rsidRDefault="00B7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8059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8059A">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F0F" w:rsidRDefault="00B73F0F">
      <w:r>
        <w:separator/>
      </w:r>
    </w:p>
  </w:footnote>
  <w:footnote w:type="continuationSeparator" w:id="0">
    <w:p w:rsidR="00B73F0F" w:rsidRDefault="00B73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7"/>
      <w:gridCol w:w="3490"/>
    </w:tblGrid>
    <w:tr w:rsidR="00694556" w:rsidTr="00D377E5">
      <w:trPr>
        <w:trHeight w:hRule="exact" w:val="426"/>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73F0F"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מ"ת</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2175-10-23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מדינת ישראל נ' רואמר סלומיאנסקי(עציר)</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C81EF3"/>
    <w:multiLevelType w:val="hybridMultilevel"/>
    <w:tmpl w:val="9AB0F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413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41363&amp;lt;/CaseID&amp;gt;_x000d__x000a_        &amp;lt;CaseMonth&amp;gt;10&amp;lt;/CaseMonth&amp;gt;_x000d__x000a_        &amp;lt;CaseYear&amp;gt;2023&amp;lt;/CaseYear&amp;gt;_x000d__x000a_        &amp;lt;CaseNumber&amp;gt;2175&amp;lt;/CaseNumber&amp;gt;_x000d__x000a_        &amp;lt;NumeratorGroupID&amp;gt;1&amp;lt;/NumeratorGroupID&amp;gt;_x000d__x000a_        &amp;lt;CaseName&amp;gt;מדינת ישראל נ&amp;#39; רואמר סלומיאנסקי(עציר)&amp;lt;/CaseName&amp;gt;_x000d__x000a_        &amp;lt;CourtID&amp;gt;14&amp;lt;/CourtID&amp;gt;_x000d__x000a_        &amp;lt;CaseTypeID&amp;gt;10049&amp;lt;/CaseTypeID&amp;gt;_x000d__x000a_        &amp;lt;CaseJudgeName&amp;gt;ירון מינטקביץ&amp;lt;/CaseJudgeName&amp;gt;_x000d__x000a_        &amp;lt;CaseLinkTypeID&amp;gt;9&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2175-10-23&amp;lt;/CaseDisplayIdentifier&amp;gt;_x000d__x000a_        &amp;lt;CaseTypeDesc&amp;gt;מ&amp;quot;ת&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0-02T07:00:00+03:00&amp;lt;/CaseOpenDate&amp;gt;_x000d__x000a_        &amp;lt;PleaTypeID&amp;gt;331&amp;lt;/PleaTypeID&amp;gt;_x000d__x000a_        &amp;lt;CourtLevelID&amp;gt;2&amp;lt;/CourtLevelID&amp;gt;_x000d__x000a_        &amp;lt;CourtLevelCaseTypeInterestID&amp;gt;1411&amp;lt;/CourtLevelCaseTypeInterestID&amp;gt;_x000d__x000a_        &amp;lt;CaseJudgeFirstName&amp;gt;ירון&amp;lt;/CaseJudgeFirstName&amp;gt;_x000d__x000a_        &amp;lt;CaseJudgeLastName&amp;gt;מינטקביץ&amp;lt;/CaseJudgeLastName&amp;gt;_x000d__x000a_        &amp;lt;JudicalPersonID&amp;gt;024097842@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כל הצדדים מעודכנים  ( הגיעו למחוזי ) 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41363&amp;lt;/CaseID&amp;gt;_x000d__x000a_        &amp;lt;CaseMonth&amp;gt;10&amp;lt;/CaseMonth&amp;gt;_x000d__x000a_        &amp;lt;CaseYear&amp;gt;2023&amp;lt;/CaseYear&amp;gt;_x000d__x000a_        &amp;lt;CaseNumber&amp;gt;2175&amp;lt;/CaseNumber&amp;gt;_x000d__x000a_        &amp;lt;NumeratorGroupID&amp;gt;1&amp;lt;/NumeratorGroupID&amp;gt;_x000d__x000a_        &amp;lt;CaseName&amp;gt;מדינת ישראל נ&amp;#39; רואמר סלומיאנסקי(עציר)&amp;lt;/CaseName&amp;gt;_x000d__x000a_        &amp;lt;CourtID&amp;gt;14&amp;lt;/CourtID&amp;gt;_x000d__x000a_        &amp;lt;CaseTypeID&amp;gt;10049&amp;lt;/CaseTypeID&amp;gt;_x000d__x000a_        &amp;lt;CaseJudgeName&amp;gt;ירון מינטקביץ&amp;lt;/CaseJudgeName&amp;gt;_x000d__x000a_        &amp;lt;CaseLinkTypeID&amp;gt;9&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2175-10-23&amp;lt;/CaseDisplayIdentifier&amp;gt;_x000d__x000a_        &amp;lt;CaseTypeDesc&amp;gt;מ&amp;quot;ת&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3-10-02T07:00:00+03:00&amp;lt;/CaseOpenDate&amp;gt;_x000d__x000a_        &amp;lt;PleaTypeID&amp;gt;331&amp;lt;/PleaTypeID&amp;gt;_x000d__x000a_        &amp;lt;CourtLevelID&amp;gt;2&amp;lt;/CourtLevelID&amp;gt;_x000d__x000a_        &amp;lt;CourtLevelCaseTypeInterestID&amp;gt;1411&amp;lt;/CourtLevelCaseTypeInterestID&amp;gt;_x000d__x000a_        &amp;lt;CaseJudgeFirstName&amp;gt;ירון&amp;lt;/CaseJudgeFirstName&amp;gt;_x000d__x000a_        &amp;lt;CaseJudgeLastName&amp;gt;מינטקביץ&amp;lt;/CaseJudgeLastName&amp;gt;_x000d__x000a_        &amp;lt;JudicalPersonID&amp;gt;024097842@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כל הצדדים מעודכנים  ( הגיעו למחוזי ) 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694551&amp;lt;/DecisionID&amp;gt;_x000d__x000a_        &amp;lt;DecisionName&amp;gt;החלטה  שניתנה ע&amp;quot;י  אביגדור דורות&amp;lt;/DecisionName&amp;gt;_x000d__x000a_        &amp;lt;DecisionStatusID&amp;gt;1&amp;lt;/DecisionStatusID&amp;gt;_x000d__x000a_        &amp;lt;DecisionStatusChangeDate&amp;gt;2023-10-24T14:51:22.037+03:00&amp;lt;/DecisionStatusChangeDate&amp;gt;_x000d__x000a_        &amp;lt;DecisionSignatureDate&amp;gt;2023-10-24T12:20:34.137+03:00&amp;lt;/DecisionSignatureDate&amp;gt;_x000d__x000a_        &amp;lt;DecisionSignatureUserID&amp;gt;055121115@GOV.IL&amp;lt;/DecisionSignatureUserID&amp;gt;_x000d__x000a_        &amp;lt;DecisionCreateDate&amp;gt;2023-10-24T12:21:42.01+03:00&amp;lt;/DecisionCreateDate&amp;gt;_x000d__x000a_        &amp;lt;DecisionChangeDate&amp;gt;2023-10-24T14:51:22.127+03:00&amp;lt;/DecisionChangeDate&amp;gt;_x000d__x000a_        &amp;lt;DecisionChangeUserID&amp;gt;31490912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426733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4909128@GOV.IL&amp;lt;/DecisionCreationUserID&amp;gt;_x000d__x000a_        &amp;lt;DecisionDisplayName&amp;gt;החלטה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47694551&amp;lt;/DecisionID&amp;gt;_x000d__x000a_        &amp;lt;CaseID&amp;gt;80641363&amp;lt;/CaseID&amp;gt;_x000d__x000a_        &amp;lt;IsOriginal&amp;gt;true&amp;lt;/IsOriginal&amp;gt;_x000d__x000a_        &amp;lt;IsDeleted&amp;gt;false&amp;lt;/IsDeleted&amp;gt;_x000d__x000a_        &amp;lt;CaseName&amp;gt;מדינת ישראל נ&amp;#39; רואמר סלומיאנסקי(עציר)&amp;lt;/CaseName&amp;gt;_x000d__x000a_        &amp;lt;CaseDisplayIdentifier&amp;gt;2175-10-23 מ&amp;quot;ת&amp;lt;/CaseDisplayIdentifier&amp;gt;_x000d__x000a_      &amp;lt;/dt_DecisionCase&amp;gt;_x000d__x000a_    &amp;lt;/DecisionDS&amp;gt;_x000d__x000a_  &amp;lt;/diffgr:diffgram&amp;gt;_x000d__x000a_&amp;lt;/DecisionDS&amp;gt;"/>
    <w:docVar w:name="DecisionID" w:val="147694551"/>
    <w:docVar w:name="WordClientAssemblyName" w:val="NGCS.Decision.ClientWordBL"/>
    <w:docVar w:name="WordClientClassName" w:val="NGCS.Decision.ClientWordBL.DecisionClient"/>
  </w:docVars>
  <w:rsids>
    <w:rsidRoot w:val="00694556"/>
    <w:rsid w:val="00000062"/>
    <w:rsid w:val="0000226B"/>
    <w:rsid w:val="00003DAE"/>
    <w:rsid w:val="00005C8B"/>
    <w:rsid w:val="00007DE0"/>
    <w:rsid w:val="000346CC"/>
    <w:rsid w:val="000529D2"/>
    <w:rsid w:val="000564AB"/>
    <w:rsid w:val="00064FBD"/>
    <w:rsid w:val="00082AB2"/>
    <w:rsid w:val="00090192"/>
    <w:rsid w:val="000906FE"/>
    <w:rsid w:val="00096AF7"/>
    <w:rsid w:val="000B344B"/>
    <w:rsid w:val="000C3B0F"/>
    <w:rsid w:val="000C3B60"/>
    <w:rsid w:val="000D0310"/>
    <w:rsid w:val="000E0DD2"/>
    <w:rsid w:val="000E3AF1"/>
    <w:rsid w:val="000F0BC8"/>
    <w:rsid w:val="000F0DD6"/>
    <w:rsid w:val="00107E6D"/>
    <w:rsid w:val="0011194C"/>
    <w:rsid w:val="0011424C"/>
    <w:rsid w:val="001173C6"/>
    <w:rsid w:val="001367BC"/>
    <w:rsid w:val="00137358"/>
    <w:rsid w:val="00144D2A"/>
    <w:rsid w:val="0014653E"/>
    <w:rsid w:val="00164327"/>
    <w:rsid w:val="00164D3E"/>
    <w:rsid w:val="00180519"/>
    <w:rsid w:val="00186213"/>
    <w:rsid w:val="00191C82"/>
    <w:rsid w:val="001967DB"/>
    <w:rsid w:val="001C4003"/>
    <w:rsid w:val="001D4DBF"/>
    <w:rsid w:val="001D7EA5"/>
    <w:rsid w:val="001E75CA"/>
    <w:rsid w:val="002141AC"/>
    <w:rsid w:val="002265FF"/>
    <w:rsid w:val="0023356C"/>
    <w:rsid w:val="00235B97"/>
    <w:rsid w:val="00271B56"/>
    <w:rsid w:val="002C344E"/>
    <w:rsid w:val="002C7AB4"/>
    <w:rsid w:val="002D1F50"/>
    <w:rsid w:val="002E75E9"/>
    <w:rsid w:val="002F0B1E"/>
    <w:rsid w:val="002F1478"/>
    <w:rsid w:val="0030510D"/>
    <w:rsid w:val="00307A6A"/>
    <w:rsid w:val="00307C40"/>
    <w:rsid w:val="00320433"/>
    <w:rsid w:val="003230C7"/>
    <w:rsid w:val="00327E50"/>
    <w:rsid w:val="0033597A"/>
    <w:rsid w:val="00343D89"/>
    <w:rsid w:val="00362612"/>
    <w:rsid w:val="0036743F"/>
    <w:rsid w:val="003715DD"/>
    <w:rsid w:val="003823E0"/>
    <w:rsid w:val="003A2960"/>
    <w:rsid w:val="003A4521"/>
    <w:rsid w:val="003B3E8D"/>
    <w:rsid w:val="003D1C8C"/>
    <w:rsid w:val="0040096C"/>
    <w:rsid w:val="00414F1F"/>
    <w:rsid w:val="0043125D"/>
    <w:rsid w:val="0043502B"/>
    <w:rsid w:val="004443AC"/>
    <w:rsid w:val="00444B02"/>
    <w:rsid w:val="00451E28"/>
    <w:rsid w:val="004549C7"/>
    <w:rsid w:val="00462C62"/>
    <w:rsid w:val="00465D36"/>
    <w:rsid w:val="0047379E"/>
    <w:rsid w:val="004C17EE"/>
    <w:rsid w:val="004C4BDF"/>
    <w:rsid w:val="004D1146"/>
    <w:rsid w:val="004D1187"/>
    <w:rsid w:val="004D3AA0"/>
    <w:rsid w:val="004E1987"/>
    <w:rsid w:val="004E2E15"/>
    <w:rsid w:val="004E6E3C"/>
    <w:rsid w:val="00507C2F"/>
    <w:rsid w:val="00511B90"/>
    <w:rsid w:val="00520898"/>
    <w:rsid w:val="00523621"/>
    <w:rsid w:val="00524986"/>
    <w:rsid w:val="005268F6"/>
    <w:rsid w:val="00534284"/>
    <w:rsid w:val="00547DB7"/>
    <w:rsid w:val="00570379"/>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D72E0"/>
    <w:rsid w:val="007E6115"/>
    <w:rsid w:val="007F4609"/>
    <w:rsid w:val="007F7317"/>
    <w:rsid w:val="00800A71"/>
    <w:rsid w:val="00814468"/>
    <w:rsid w:val="008176A1"/>
    <w:rsid w:val="00820005"/>
    <w:rsid w:val="00821E15"/>
    <w:rsid w:val="00841158"/>
    <w:rsid w:val="00844318"/>
    <w:rsid w:val="00851257"/>
    <w:rsid w:val="00863F5D"/>
    <w:rsid w:val="00870890"/>
    <w:rsid w:val="00873602"/>
    <w:rsid w:val="00875D12"/>
    <w:rsid w:val="0088479D"/>
    <w:rsid w:val="00886E79"/>
    <w:rsid w:val="00891F42"/>
    <w:rsid w:val="00896889"/>
    <w:rsid w:val="00897C3E"/>
    <w:rsid w:val="008A59EE"/>
    <w:rsid w:val="008A6E97"/>
    <w:rsid w:val="008B2F75"/>
    <w:rsid w:val="008C5714"/>
    <w:rsid w:val="008D10B2"/>
    <w:rsid w:val="008D4C41"/>
    <w:rsid w:val="00903896"/>
    <w:rsid w:val="00906F3D"/>
    <w:rsid w:val="00917400"/>
    <w:rsid w:val="009209C1"/>
    <w:rsid w:val="0094424E"/>
    <w:rsid w:val="00955642"/>
    <w:rsid w:val="009622DF"/>
    <w:rsid w:val="00963FC3"/>
    <w:rsid w:val="0096493F"/>
    <w:rsid w:val="00967DFF"/>
    <w:rsid w:val="00994341"/>
    <w:rsid w:val="009951EB"/>
    <w:rsid w:val="009D1A48"/>
    <w:rsid w:val="009E1CE7"/>
    <w:rsid w:val="009E4EA5"/>
    <w:rsid w:val="009F164B"/>
    <w:rsid w:val="009F323C"/>
    <w:rsid w:val="00A3392B"/>
    <w:rsid w:val="00A81988"/>
    <w:rsid w:val="00A827D9"/>
    <w:rsid w:val="00A82AFB"/>
    <w:rsid w:val="00A85E34"/>
    <w:rsid w:val="00A87DF6"/>
    <w:rsid w:val="00A9144F"/>
    <w:rsid w:val="00A94B64"/>
    <w:rsid w:val="00AA3229"/>
    <w:rsid w:val="00AA7596"/>
    <w:rsid w:val="00AB5E52"/>
    <w:rsid w:val="00AB70FD"/>
    <w:rsid w:val="00AC3B02"/>
    <w:rsid w:val="00AC3B7B"/>
    <w:rsid w:val="00AC5209"/>
    <w:rsid w:val="00AC5857"/>
    <w:rsid w:val="00AE0E34"/>
    <w:rsid w:val="00AE729E"/>
    <w:rsid w:val="00AE7752"/>
    <w:rsid w:val="00AF7FDA"/>
    <w:rsid w:val="00B5356E"/>
    <w:rsid w:val="00B61E6F"/>
    <w:rsid w:val="00B62AD7"/>
    <w:rsid w:val="00B66717"/>
    <w:rsid w:val="00B73F0F"/>
    <w:rsid w:val="00B809AD"/>
    <w:rsid w:val="00B80CBD"/>
    <w:rsid w:val="00B86096"/>
    <w:rsid w:val="00B95D6E"/>
    <w:rsid w:val="00B964D9"/>
    <w:rsid w:val="00BA0A7C"/>
    <w:rsid w:val="00BA517C"/>
    <w:rsid w:val="00BB35F1"/>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1597F"/>
    <w:rsid w:val="00D27982"/>
    <w:rsid w:val="00D314DE"/>
    <w:rsid w:val="00D33B86"/>
    <w:rsid w:val="00D377E5"/>
    <w:rsid w:val="00D40A5E"/>
    <w:rsid w:val="00D44968"/>
    <w:rsid w:val="00D53924"/>
    <w:rsid w:val="00D55D0C"/>
    <w:rsid w:val="00D8059A"/>
    <w:rsid w:val="00D951FC"/>
    <w:rsid w:val="00D96D8C"/>
    <w:rsid w:val="00DA6649"/>
    <w:rsid w:val="00DC1259"/>
    <w:rsid w:val="00DC1BD2"/>
    <w:rsid w:val="00DC2571"/>
    <w:rsid w:val="00DC487C"/>
    <w:rsid w:val="00DD2992"/>
    <w:rsid w:val="00DD4335"/>
    <w:rsid w:val="00DE1E7D"/>
    <w:rsid w:val="00DE41F8"/>
    <w:rsid w:val="00DE6BF6"/>
    <w:rsid w:val="00DF4144"/>
    <w:rsid w:val="00E1068A"/>
    <w:rsid w:val="00E148C3"/>
    <w:rsid w:val="00E25884"/>
    <w:rsid w:val="00E25B55"/>
    <w:rsid w:val="00E31C2B"/>
    <w:rsid w:val="00E5426A"/>
    <w:rsid w:val="00E54642"/>
    <w:rsid w:val="00E80CBE"/>
    <w:rsid w:val="00E9269D"/>
    <w:rsid w:val="00E93754"/>
    <w:rsid w:val="00E962E3"/>
    <w:rsid w:val="00EA0509"/>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03D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02778"/>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35258"/>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277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10277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iesSelectionDS>
      <CaseParties>
        <PartyTypeName>בא כוח</PartyTypeName>
        <ProceedingType>כתב טענות עיקרי</ProceedingType>
        <PleaName>כתב בקשה למעצר עד תום הליכים </PleaName>
        <PartyBelonging> - </PartyBelonging>
        <RoleName>בא כוח מבקשים</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261393735</CasePartyID>
        <PartyTypeID>2</PartyTypeID>
        <ActivityStatusID>1</ActivityStatusID>
        <PartyAliasID>22</PartyAliasID>
        <PartyAliasName>בא כוח מבקשים</PartyAliasName>
        <LegalEntityID>401511</LegalEntityID>
        <CaseLegalEntityID>126217821</CaseLegalEntityID>
        <AuthenticationTypeID>4</AuthenticationTypeID>
        <AuthenticationTypeName>מ.ר.</AuthenticationTypeName>
        <LegalEntityNumber>23060</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עוזי חסון 4 ירושלים </FullAddress>
        <EmailAddress>Prak-JR-Criminal@justice.gov.il</EmailAddress>
        <MotionID>0</MotionID>
        <CasePleaID>0</CasePleaID>
        <LinkedCaseID>0</LinkedCaseID>
        <CasePartyCategoryID>2</CasePartyCategoryID>
        <LegalEntityAddressID>421914</LegalEntityAddressID>
        <LegalEntityEmailAddressID>67974607</LegalEntityEmailAddressID>
        <PleaTypeID>331</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בא כוח</PartyTypeName>
        <ProceedingType>כתב טענות עיקרי</ProceedingType>
        <PleaName>כתב בקשה למעצר עד תום הליכים </PleaName>
        <PartyBelonging> - </PartyBelonging>
        <RoleName>בא כוח משיבים</RoleName>
        <IsSubProceeding>FALSE</IsSubProceeding>
        <FullName>נחשון שוחט</FullName>
        <FirstName>נחשון</FirstName>
        <LastName>שוחט</LastName>
        <PartyPropertyName/>
        <AuthenticationTypeAndNumber>מ.ר. 27233</AuthenticationTypeAndNumber>
        <RepresentatedOrRepresentativesNames>אנדרס אייזיק רואמר סלומיאנסקי</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261155214</CasePartyID>
        <PartyTypeID>2</PartyTypeID>
        <ActivityStatusID>1</ActivityStatusID>
        <PartyAliasID>23</PartyAliasID>
        <PartyAliasName>בא כוח משיבים</PartyAliasName>
        <LegalEntityID>402860</LegalEntityID>
        <CaseLegalEntityID>126137104</CaseLegalEntityID>
        <AuthenticationTypeID>4</AuthenticationTypeID>
        <AuthenticationTypeName>מ.ר.</AuthenticationTypeName>
        <LegalEntityNumber>27233</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אבא הלל סילבר 16 רמת גן </FullAddress>
        <EmailAddress>net_hamishpat@meitar.com</EmailAddress>
        <MotionID>0</MotionID>
        <CasePleaID>0</CasePleaID>
        <LinkedCaseID>0</LinkedCaseID>
        <PartyID>2</PartyID>
        <CasePartyCategoryID>2</CasePartyCategoryID>
        <LegalEntityAddressID>86628576</LegalEntityAddressID>
        <LegalEntityEmailAddressID>68022781</LegalEntityEmailAddressID>
        <PleaTypeID>331</PleaTypeID>
        <LawyerOfficeName>מיתר, ליקוורניק, גבע,לשם, טל ושות'</LawyerOfficeName>
        <LawyerOfficeID>1507240</LawyerOfficeID>
        <GroupPartyAlias/>
        <IsConverted>false</IsConverted>
        <LegalEntityNameID>23844</LegalEntityNameID>
        <RepresentatedNamesOfAssistant/>
        <LegalEntityTypeID>4</LegalEntityTypeID>
        <IsVerdictExists>false</IsVerdictExists>
        <IsAsirAzir>false</IsAsirAzir>
        <IsPublicationProhibited>false</IsPublicationProhibited>
        <PublicationProhibitedFullName>נחשון שוחט</PublicationProhibitedFullName>
      </CaseParties>
      <CaseParties>
        <PartyTypeName>מסייע</PartyTypeName>
        <ProceedingType>כתב טענות עיקרי</ProceedingType>
        <PleaName>כתב בקשה למעצר עד תום הליכים </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261127135</CasePartyID>
        <PartyTypeID>3</PartyTypeID>
        <ActivityStatusID>1</ActivityStatusID>
        <OrdinalNumber>1</OrdinalNumber>
        <LegalEntityID>74409308</LegalEntityID>
        <CaseLegalEntityID>126126965</CaseLegalEntityID>
        <AssistantRoleID>101</AssistantRoleID>
        <AuthenticationTypeID>13</AuthenticationTypeID>
        <AuthenticationTypeName>משרדי ממשלה</AuthenticationTypeName>
        <LegalEntityNumber>570001686</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 רמלה </FullAddress>
        <MotionID>0</MotionID>
        <CasePleaID>0</CasePleaID>
        <LinkedCaseID>0</LinkedCaseID>
        <CasePartyCategoryID>2</CasePartyCategoryID>
        <LegalEntityAddressID>86201195</LegalEntityAddressID>
        <PleaTypeID>331</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צד</PartyTypeName>
        <ProceedingType>כתב טענות עיקרי</ProceedingType>
        <PleaName>כתב בקשה למעצר עד תום הליכים </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אפרת גרינבוים</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261127136</CasePartyID>
        <PartyTypeID>1</PartyTypeID>
        <ActivityStatusID>1</ActivityStatusID>
        <PartyAliasID>3</PartyAliasID>
        <PartyAliasName>מבקש</PartyAliasName>
        <OrdinalNumber>1</OrdinalNumber>
        <LegalEntityID>4</LegalEntityID>
        <CaseLegalEntityID>126126966</CaseLegalEntityID>
        <AuthenticationTypeID>41</AuthenticationTypeID>
        <AuthenticationTypeName>מדינת ישראל </AuthenticationTypeName>
        <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
        <MotionID>0</MotionID>
        <CasePleaID>0</CasePleaID>
        <BirthDate>1955-01-01T00:00:00+02:00</BirthDate>
        <FatherName>ויקטור חיים</FatherName>
        <LinkedCaseID>0</LinkedCaseID>
        <PartyID>1</PartyID>
        <CasePartyCategoryID>2</CasePartyCategoryID>
        <PleaTypeID>331</PleaTypeID>
        <GroupPartyAlias>מבקשים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בקשה למעצר עד תום הליכים </PleaName>
        <PartyBelonging> - </PartyBelonging>
        <RoleName>בא כוח מבקשים</RoleName>
        <IsSubProceeding>FALSE</IsSubProceeding>
        <FullName>אפרת גרינבוים</FullName>
        <FirstName>אפרת</FirstName>
        <LastName>גרינבוים</LastName>
        <PartyPropertyName/>
        <AuthenticationTypeAndNumber>מ.ר. 22101</AuthenticationTypeAndNumber>
        <RepresentatedOrRepresentativesNames xml:space="preserve"> </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261127137</CasePartyID>
        <PartyTypeID>2</PartyTypeID>
        <ActivityStatusID>1</ActivityStatusID>
        <PartyAliasID>22</PartyAliasID>
        <PartyAliasName>בא כוח מבקשים</PartyAliasName>
        <OrdinalNumber>1</OrdinalNumber>
        <LegalEntityID>401165</LegalEntityID>
        <CaseLegalEntityID>126126967</CaseLegalEntityID>
        <AuthenticationTypeID>4</AuthenticationTypeID>
        <AuthenticationTypeName>מ.ר.</AuthenticationTypeName>
        <LegalEntityNumber>22101</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מח"ל 7 ירושלים </FullAddress>
        <MotionID>0</MotionID>
        <CasePleaID>0</CasePleaID>
        <FatherName xml:space="preserve">        </FatherName>
        <LinkedCaseID>0</LinkedCaseID>
        <PartyID>1</PartyID>
        <CasePartyCategoryID>2</CasePartyCategoryID>
        <LegalEntityAddressID>70518716</LegalEntityAddressID>
        <PleaTypeID>331</PleaTypeID>
        <LawyerOfficeName>פרקליטות המדינה - מחלקה בינלאומית</LawyerOfficeName>
        <LawyerOfficeID>419587</LawyerOfficeID>
        <GroupPartyAlias/>
        <IsConverted>false</IsConverted>
        <LegalEntityNameID>7175820</LegalEntityNameID>
        <RepresentatedNamesOfAssistant/>
        <LegalEntityTypeID>4</LegalEntityTypeID>
        <IsVerdictExists>false</IsVerdictExists>
        <IsAsirAzir>false</IsAsirAzir>
        <IsPublicationProhibited>false</IsPublicationProhibited>
        <PublicationProhibitedFullName>אפרת גרינבוים</PublicationProhibitedFullName>
      </CaseParties>
      <CaseParties>
        <PartyTypeName>צד</PartyTypeName>
        <ProceedingType>כתב טענות עיקרי</ProceedingType>
        <PleaName>כתב בקשה למעצר עד תום הליכים </PleaName>
        <PartyBelonging>צד ב'</PartyBelonging>
        <RoleName>משיב 1</RoleName>
        <IsSubProceeding>FALSE</IsSubProceeding>
        <FullName>אנדרס אייזיק רואמר סלומיאנסקי (עציר)</FullName>
        <FirstName>אנדרס אייזיק</FirstName>
        <LastName>רואמר סלומיאנסקי</LastName>
        <PartyPropertyID>6</PartyPropertyID>
        <PartyPropertyName/>
        <AuthenticationTypeAndNumber>דרכון U0585697</AuthenticationTypeAndNumber>
        <RepresentatedOrRepresentativesNames>נחשון שוחט</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261127138</CasePartyID>
        <PartyTypeID>1</PartyTypeID>
        <ActivityStatusID>1</ActivityStatusID>
        <PartyAliasID>4</PartyAliasID>
        <PartyAliasName>משיב</PartyAliasName>
        <OrdinalNumber>1</OrdinalNumber>
        <LegalEntityID>81484768</LegalEntityID>
        <CaseLegalEntityID>126126968</CaseLegalEntityID>
        <AuthenticationTypeID>2</AuthenticationTypeID>
        <AuthenticationTypeName>דרכון</AuthenticationTypeName>
        <LegalEntityNumber>U0585697</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
        <MotionID>0</MotionID>
        <CasePleaID>0</CasePleaID>
        <PassportCountryID>510</PassportCountryID>
        <FatherName/>
        <LinkedCaseID>0</LinkedCaseID>
        <PartyID>2</PartyID>
        <CasePartyCategoryID>2</CasePartyCategoryID>
        <PleaTypeID>331</PleaTypeID>
        <GroupPartyAlias>משיבים</GroupPartyAlias>
        <IsConverted>false</IsConverted>
        <LegalEntityNameID>95538890</LegalEntityNameID>
        <RepresentatedNamesOfAssistant/>
        <PopulationRegisterVerificationStatusID>4</PopulationRegisterVerificationStatusID>
        <LegalEntityTypeID>2</LegalEntityTypeID>
        <IsVerdictExists>false</IsVerdictExists>
        <IsAsirAzir>true</IsAsirAzir>
        <IsPublicationProhibited>false</IsPublicationProhibited>
        <PublicationProhibitedFullName>אנדרס אייזיק רואמר סלומיאנסקי (עציר)</PublicationProhibitedFullName>
      </CaseParties>
    </CasePartiesSelectionDS>
    <DecisionName>החלטה  שניתנה ע"י  אביגדור דורות</DecisionName>
    <CourtDisplayName>בית המשפט המחוזי בירושלים</CourtDisplayName>
    <IsCaseJudgePanel>false</IsCaseJudgePanel>
    <DecisionSignatureDate>2023-10-24T12:20:34.1357102+03:00</DecisionSignatureDate>
    <OpenCaseDate>2023-10-02T07:00:00+03:00</OpenCaseDate>
    <DecisionTypeID>1</DecisionTypeID>
    <DecisionSignatureUserName>אביגדור דורות</DecisionSignatureUserName>
    <DecisionSignatureDateHebrew>2023-10-24T12:20:34.1357102+03:00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מדינת ישראל נ' רואמר סלומיאנסקי(עציר)</CaseName>
    <DecisionNumberInCase>9</DecisionNumberInCase>
  </dt_Decision>
  <dt_DecisionCase>
    <DecisionID>0</DecisionID>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iesSelectionDS>
      <CaseParties>
        <PartyTypeName>בא כוח</PartyTypeName>
        <ProceedingType>כתב טענות עיקרי</ProceedingType>
        <PleaName>כתב בקשה למעצר עד תום הליכים </PleaName>
        <PartyBelonging> - </PartyBelonging>
        <RoleName>בא כוח מבקשים</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261393735</CasePartyID>
        <PartyTypeID>2</PartyTypeID>
        <ActivityStatusID>1</ActivityStatusID>
        <PartyAliasID>22</PartyAliasID>
        <PartyAliasName>בא כוח מבקשים</PartyAliasName>
        <LegalEntityID>401511</LegalEntityID>
        <CaseLegalEntityID>126217821</CaseLegalEntityID>
        <AuthenticationTypeID>4</AuthenticationTypeID>
        <AuthenticationTypeName>מ.ר.</AuthenticationTypeName>
        <LegalEntityNumber>23060</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עוזי חסון 4 ירושלים </FullAddress>
        <EmailAddress>Prak-JR-Criminal@justice.gov.il</EmailAddress>
        <MotionID>0</MotionID>
        <CasePleaID>0</CasePleaID>
        <LinkedCaseID>0</LinkedCaseID>
        <CasePartyCategoryID>2</CasePartyCategoryID>
        <LegalEntityAddressID>421914</LegalEntityAddressID>
        <LegalEntityEmailAddressID>67974607</LegalEntityEmailAddressID>
        <PleaTypeID>331</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בא כוח</PartyTypeName>
        <ProceedingType>כתב טענות עיקרי</ProceedingType>
        <PleaName>כתב בקשה למעצר עד תום הליכים </PleaName>
        <PartyBelonging> - </PartyBelonging>
        <RoleName>בא כוח משיבים</RoleName>
        <IsSubProceeding>FALSE</IsSubProceeding>
        <FullName>נחשון שוחט</FullName>
        <FirstName>נחשון</FirstName>
        <LastName>שוחט</LastName>
        <PartyPropertyName/>
        <AuthenticationTypeAndNumber>מ.ר. 27233</AuthenticationTypeAndNumber>
        <RepresentatedOrRepresentativesNames>אנדרס אייזיק רואמר סלומיאנסקי</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261155214</CasePartyID>
        <PartyTypeID>2</PartyTypeID>
        <ActivityStatusID>1</ActivityStatusID>
        <PartyAliasID>23</PartyAliasID>
        <PartyAliasName>בא כוח משיבים</PartyAliasName>
        <LegalEntityID>402860</LegalEntityID>
        <CaseLegalEntityID>126137104</CaseLegalEntityID>
        <AuthenticationTypeID>4</AuthenticationTypeID>
        <AuthenticationTypeName>מ.ר.</AuthenticationTypeName>
        <LegalEntityNumber>27233</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אבא הלל סילבר 16 רמת גן </FullAddress>
        <EmailAddress>net_hamishpat@meitar.com</EmailAddress>
        <MotionID>0</MotionID>
        <CasePleaID>0</CasePleaID>
        <LinkedCaseID>0</LinkedCaseID>
        <PartyID>2</PartyID>
        <CasePartyCategoryID>2</CasePartyCategoryID>
        <LegalEntityAddressID>86628576</LegalEntityAddressID>
        <LegalEntityEmailAddressID>68022781</LegalEntityEmailAddressID>
        <PleaTypeID>331</PleaTypeID>
        <LawyerOfficeName>מיתר, ליקוורניק, גבע,לשם, טל ושות'</LawyerOfficeName>
        <LawyerOfficeID>1507240</LawyerOfficeID>
        <GroupPartyAlias/>
        <IsConverted>false</IsConverted>
        <LegalEntityNameID>23844</LegalEntityNameID>
        <RepresentatedNamesOfAssistant/>
        <LegalEntityTypeID>4</LegalEntityTypeID>
        <IsVerdictExists>false</IsVerdictExists>
        <IsAsirAzir>false</IsAsirAzir>
        <IsPublicationProhibited>false</IsPublicationProhibited>
        <PublicationProhibitedFullName>נחשון שוחט</PublicationProhibitedFullName>
      </CaseParties>
      <CaseParties>
        <PartyTypeName>מסייע</PartyTypeName>
        <ProceedingType>כתב טענות עיקרי</ProceedingType>
        <PleaName>כתב בקשה למעצר עד תום הליכים </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261127135</CasePartyID>
        <PartyTypeID>3</PartyTypeID>
        <ActivityStatusID>1</ActivityStatusID>
        <OrdinalNumber>1</OrdinalNumber>
        <LegalEntityID>74409308</LegalEntityID>
        <CaseLegalEntityID>126126965</CaseLegalEntityID>
        <AssistantRoleID>101</AssistantRoleID>
        <AuthenticationTypeID>13</AuthenticationTypeID>
        <AuthenticationTypeName>משרדי ממשלה</AuthenticationTypeName>
        <LegalEntityNumber>570001686</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 רמלה </FullAddress>
        <MotionID>0</MotionID>
        <CasePleaID>0</CasePleaID>
        <LinkedCaseID>0</LinkedCaseID>
        <CasePartyCategoryID>2</CasePartyCategoryID>
        <LegalEntityAddressID>86201195</LegalEntityAddressID>
        <PleaTypeID>331</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צד</PartyTypeName>
        <ProceedingType>כתב טענות עיקרי</ProceedingType>
        <PleaName>כתב בקשה למעצר עד תום הליכים </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אפרת גרינבוים</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261127136</CasePartyID>
        <PartyTypeID>1</PartyTypeID>
        <ActivityStatusID>1</ActivityStatusID>
        <PartyAliasID>3</PartyAliasID>
        <PartyAliasName>מבקש</PartyAliasName>
        <OrdinalNumber>1</OrdinalNumber>
        <LegalEntityID>4</LegalEntityID>
        <CaseLegalEntityID>126126966</CaseLegalEntityID>
        <AuthenticationTypeID>41</AuthenticationTypeID>
        <AuthenticationTypeName>מדינת ישראל </AuthenticationTypeName>
        <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
        <MotionID>0</MotionID>
        <CasePleaID>0</CasePleaID>
        <BirthDate>1955-01-01T00:00:00+02:00</BirthDate>
        <FatherName>ויקטור חיים</FatherName>
        <LinkedCaseID>0</LinkedCaseID>
        <PartyID>1</PartyID>
        <CasePartyCategoryID>2</CasePartyCategoryID>
        <PleaTypeID>331</PleaTypeID>
        <GroupPartyAlias>מבקשים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בקשה למעצר עד תום הליכים </PleaName>
        <PartyBelonging> - </PartyBelonging>
        <RoleName>בא כוח מבקשים</RoleName>
        <IsSubProceeding>FALSE</IsSubProceeding>
        <FullName>אפרת גרינבוים</FullName>
        <FirstName>אפרת</FirstName>
        <LastName>גרינבוים</LastName>
        <PartyPropertyName/>
        <AuthenticationTypeAndNumber>מ.ר. 22101</AuthenticationTypeAndNumber>
        <RepresentatedOrRepresentativesNames xml:space="preserve"> </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261127137</CasePartyID>
        <PartyTypeID>2</PartyTypeID>
        <ActivityStatusID>1</ActivityStatusID>
        <PartyAliasID>22</PartyAliasID>
        <PartyAliasName>בא כוח מבקשים</PartyAliasName>
        <OrdinalNumber>1</OrdinalNumber>
        <LegalEntityID>401165</LegalEntityID>
        <CaseLegalEntityID>126126967</CaseLegalEntityID>
        <AuthenticationTypeID>4</AuthenticationTypeID>
        <AuthenticationTypeName>מ.ר.</AuthenticationTypeName>
        <LegalEntityNumber>22101</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מח"ל 7 ירושלים </FullAddress>
        <MotionID>0</MotionID>
        <CasePleaID>0</CasePleaID>
        <FatherName xml:space="preserve">        </FatherName>
        <LinkedCaseID>0</LinkedCaseID>
        <PartyID>1</PartyID>
        <CasePartyCategoryID>2</CasePartyCategoryID>
        <LegalEntityAddressID>70518716</LegalEntityAddressID>
        <PleaTypeID>331</PleaTypeID>
        <LawyerOfficeName>פרקליטות המדינה - מחלקה בינלאומית</LawyerOfficeName>
        <LawyerOfficeID>419587</LawyerOfficeID>
        <GroupPartyAlias/>
        <IsConverted>false</IsConverted>
        <LegalEntityNameID>7175820</LegalEntityNameID>
        <RepresentatedNamesOfAssistant/>
        <LegalEntityTypeID>4</LegalEntityTypeID>
        <IsVerdictExists>false</IsVerdictExists>
        <IsAsirAzir>false</IsAsirAzir>
        <IsPublicationProhibited>false</IsPublicationProhibited>
        <PublicationProhibitedFullName>אפרת גרינבוים</PublicationProhibitedFullName>
      </CaseParties>
      <CaseParties>
        <PartyTypeName>צד</PartyTypeName>
        <ProceedingType>כתב טענות עיקרי</ProceedingType>
        <PleaName>כתב בקשה למעצר עד תום הליכים </PleaName>
        <PartyBelonging>צד ב'</PartyBelonging>
        <RoleName>משיב 1</RoleName>
        <IsSubProceeding>FALSE</IsSubProceeding>
        <FullName>אנדרס אייזיק רואמר סלומיאנסקי (עציר)</FullName>
        <FirstName>אנדרס אייזיק</FirstName>
        <LastName>רואמר סלומיאנסקי</LastName>
        <PartyPropertyID>6</PartyPropertyID>
        <PartyPropertyName/>
        <AuthenticationTypeAndNumber>דרכון U0585697</AuthenticationTypeAndNumber>
        <RepresentatedOrRepresentativesNames>נחשון שוחט</RepresentatedOrRepresentativesNames>
        <RepresentatedOrRepresentativesCount>1</RepresentatedOrRepresentativesCount>
        <InvitedBy/>
        <CaseID>80641363</CaseID>
        <CaseJudicialPersonPresentationDS>
          <CaseJudicalPersonActive>
            <CaseID>80641363</CaseID>
            <JudicialPersonID>024097842@GOV.IL</JudicialPersonID>
            <JudicialPersonTypeID>1</JudicialPersonTypeID>
            <JudicialTypeID>1</JudicialTypeID>
            <IsChairman>false</IsChairman>
            <TreatmentStartDate>2023-10-08T13:35:28.637+03:00</TreatmentStartDate>
            <TreatmentFinishDate>9999-12-31T23:59:59.997+02:00</TreatmentFinishDate>
            <IdentificationCardNumber>024097842</IdentificationCardNumber>
            <DisplayName>ירון מינטקביץ</DisplayName>
            <JudicialTypeName>שופט</JudicialTypeName>
            <CaseJudicialGroupNumber>0</CaseJudicialGroupNumber>
            <FirstName>ירון</FirstName>
            <LastName>מינטקביץ</LastName>
            <JudicialPersonTitle>שופט</JudicialPersonTitle>
          </CaseJudicalPersonActive>
        </CaseJudicialPersonPresentationDS>
        <CasePartyID>261127138</CasePartyID>
        <PartyTypeID>1</PartyTypeID>
        <ActivityStatusID>1</ActivityStatusID>
        <PartyAliasID>4</PartyAliasID>
        <PartyAliasName>משיב</PartyAliasName>
        <OrdinalNumber>1</OrdinalNumber>
        <LegalEntityID>81484768</LegalEntityID>
        <CaseLegalEntityID>126126968</CaseLegalEntityID>
        <AuthenticationTypeID>2</AuthenticationTypeID>
        <AuthenticationTypeName>דרכון</AuthenticationTypeName>
        <LegalEntityNumber>U0585697</LegalEntityNumber>
        <IsMainPartyType>true</IsMainPartyType>
        <CaseDisplayIdentifier>2175-10-23</CaseDisplayIdentifier>
        <CaseTypeID>10049</CaseTypeID>
        <CaseTypeName>מעצר עד תום ההליכים (מ"ת)</CaseTypeName>
        <CaseName>מדינת ישראל נ' רואמר סלומיאנסקי(עציר)</CaseName>
        <FullAddress/>
        <MotionID>0</MotionID>
        <CasePleaID>0</CasePleaID>
        <PassportCountryID>510</PassportCountryID>
        <FatherName/>
        <LinkedCaseID>0</LinkedCaseID>
        <PartyID>2</PartyID>
        <CasePartyCategoryID>2</CasePartyCategoryID>
        <PleaTypeID>331</PleaTypeID>
        <GroupPartyAlias>משיבים</GroupPartyAlias>
        <IsConverted>false</IsConverted>
        <LegalEntityNameID>95538890</LegalEntityNameID>
        <RepresentatedNamesOfAssistant/>
        <PopulationRegisterVerificationStatusID>4</PopulationRegisterVerificationStatusID>
        <LegalEntityTypeID>2</LegalEntityTypeID>
        <IsVerdictExists>false</IsVerdictExists>
        <IsAsirAzir>true</IsAsirAzir>
        <IsPublicationProhibited>false</IsPublicationProhibited>
        <PublicationProhibitedFullName>אנדרס אייזיק רואמר סלומיאנסקי (עציר)</PublicationProhibitedFullName>
      </CaseParties>
    </CasePartiesSelectionDS>
    <CaseName>מדינת ישראל נ' רואמר סלומיאנסקי(עציר)</CaseName>
    <CaseDisplayIdentifier>2175-10-23</CaseDisplayIdentifier>
    <CaseTypeShortName>מ"ת</CaseTypeShortName>
  </dt_DecisionCase>
  <dt_DecisionJudgePanel>
    <JudgeID>055121115@GOV.IL</JudgeID>
    <DisplayName>אביגדור דורות</DisplayName>
    <RoleName>שופט</RoleName>
    <UserTitleName>שופט</UserTitleName>
  </dt_DecisionJudgePanel>
  <dt_LegalEntityDetails>
    <Fax>03-6103111</Fax>
    <Phone>03-6103810</Phone>
    <PartyID>2</PartyID>
    <PartyTypeID>2</PartyTypeID>
    <DecisionID>0</DecisionID>
    <StreetName>אבא הלל סילבר 16</StreetName>
    <ZipCode>5250608</ZipCode>
    <CityName>רמת גן</CityName>
    <FullName>נחשון שוחט</FullName>
    <Email>net_hamishpat@meitar.com</Email>
    <IsPublicationProhibited>false</IsPublicationProhibited>
  </dt_LegalEntityDetails>
  <dt_LegalEntityDetails>
    <Fax>02-6467049</Fax>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Fax/>
    <Phone/>
    <AddressDesc/>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02-6467044</Fax>
    <Phone>073-3928261</Phone>
    <PartyID>1</PartyID>
    <PartyTypeID>2</PartyTypeID>
    <DecisionID>0</DecisionID>
    <StreetName>מח"ל 7</StreetName>
    <ZipCode>97765</ZipCode>
    <CityName>ירושלים</CityName>
    <FullName>אפרת גרינבוים</FullName>
    <Email>efratg@justice.gov.il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ירון מינטקביץ</CaseJudicalPerson>
  </dt_CaseJudicalPersonActive>
  <dt_Sitting>
    <PreviousMeetingDate>2023-10-23T13:00:00+03:00</PreviousMeetingDate>
    <PreviousSittingTypeID>53</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FDC3E-5D83-4FA7-A8B8-47DB37B34AA6}">
  <ds:schemaRefs/>
</ds:datastoreItem>
</file>

<file path=customXml/itemProps2.xml><?xml version="1.0" encoding="utf-8"?>
<ds:datastoreItem xmlns:ds="http://schemas.openxmlformats.org/officeDocument/2006/customXml" ds:itemID="{20F630EE-59A0-4188-BE0E-F7F3E7E51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2148</Words>
  <Characters>10742</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אביגדור דורות</cp:lastModifiedBy>
  <cp:revision>203</cp:revision>
  <dcterms:created xsi:type="dcterms:W3CDTF">2012-08-06T05:16:00Z</dcterms:created>
  <dcterms:modified xsi:type="dcterms:W3CDTF">2023-10-24T16:41:00Z</dcterms:modified>
</cp:coreProperties>
</file>